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66831D99" w:rsidR="009E7D0C" w:rsidRPr="004B0EC7" w:rsidRDefault="009E7D0C" w:rsidP="00A33695">
      <w:pPr>
        <w:jc w:val="center"/>
        <w:rPr>
          <w:sz w:val="24"/>
          <w:rFonts w:ascii="Times New Roman" w:hAnsi="Times New Roman"/>
        </w:rPr>
      </w:pPr>
      <w:bookmarkStart w:id="0" w:name="_Toc262568021"/>
      <w:bookmarkStart w:id="1" w:name="_Toc295829847"/>
      <w:r>
        <w:rPr>
          <w:sz w:val="24"/>
          <w:rFonts w:ascii="Times New Roman" w:hAnsi="Times New Roman"/>
        </w:rPr>
        <w:t xml:space="preserve">DA</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sz w:val="24"/>
          <w:rFonts w:ascii="Times New Roman" w:hAnsi="Times New Roman"/>
        </w:rPr>
      </w:pPr>
      <w:r>
        <w:rPr>
          <w:sz w:val="24"/>
          <w:rFonts w:ascii="Times New Roman" w:hAnsi="Times New Roman"/>
        </w:rPr>
        <w:t xml:space="preserve">BILAG II</w:t>
      </w:r>
    </w:p>
    <w:p w14:paraId="37362007" w14:textId="6FB5EC15" w:rsidR="002648B0" w:rsidRPr="004B0EC7" w:rsidRDefault="008D696E" w:rsidP="00A33695">
      <w:pPr>
        <w:jc w:val="center"/>
        <w:rPr>
          <w:sz w:val="24"/>
          <w:rFonts w:ascii="Times New Roman" w:hAnsi="Times New Roman"/>
        </w:rPr>
      </w:pPr>
      <w:r>
        <w:rPr>
          <w:sz w:val="24"/>
          <w:rFonts w:ascii="Times New Roman" w:hAnsi="Times New Roman"/>
        </w:rPr>
        <w:t xml:space="preserve">"BILAG II</w:t>
      </w:r>
    </w:p>
    <w:p w14:paraId="327777EC" w14:textId="77777777" w:rsidR="002648B0" w:rsidRPr="004B0EC7" w:rsidRDefault="00D11E4C" w:rsidP="00C87CEE">
      <w:pPr>
        <w:jc w:val="center"/>
        <w:rPr>
          <w:b/>
          <w:sz w:val="24"/>
          <w:rFonts w:ascii="Times New Roman" w:hAnsi="Times New Roman"/>
        </w:rPr>
      </w:pPr>
      <w:r>
        <w:rPr>
          <w:b/>
          <w:sz w:val="24"/>
          <w:rFonts w:ascii="Times New Roman" w:hAnsi="Times New Roman"/>
        </w:rPr>
        <w:t xml:space="preserve">INSTRUKSER TIL INDBERETNING AF KAPITALGRUNDLAG OG KAPITALGRUNDLAGSKRAV</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sz w:val="24"/>
          <w:rFonts w:ascii="Times New Roman" w:hAnsi="Times New Roman"/>
        </w:rPr>
      </w:pPr>
      <w:r>
        <w:rPr>
          <w:sz w:val="24"/>
          <w:rFonts w:ascii="Times New Roman" w:hAnsi="Times New Roman"/>
        </w:rPr>
        <w:t xml:space="preserve">(...)</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 xml:space="preserve">DEL II:</w:t>
      </w:r>
      <w:r>
        <w:rPr>
          <w:rFonts w:ascii="Times New Roman" w:hAnsi="Times New Roman"/>
        </w:rPr>
        <w:t xml:space="preserve"> </w:t>
      </w:r>
      <w:r>
        <w:rPr>
          <w:rFonts w:ascii="Times New Roman" w:hAnsi="Times New Roman"/>
        </w:rPr>
        <w:t xml:space="preserve">INSTRUKSER VEDRØRENDE SKEMAER</w:t>
      </w:r>
      <w:bookmarkEnd w:id="3"/>
      <w:bookmarkEnd w:id="4"/>
      <w:bookmarkEnd w:id="5"/>
    </w:p>
    <w:p w14:paraId="42779579" w14:textId="77777777" w:rsidR="00971D22" w:rsidRPr="004B0EC7" w:rsidRDefault="00971D22" w:rsidP="00971D22">
      <w:pPr>
        <w:rPr>
          <w:sz w:val="24"/>
          <w:rFonts w:ascii="Times New Roman" w:hAnsi="Times New Roman"/>
        </w:rPr>
      </w:pPr>
      <w:bookmarkStart w:id="6" w:name="_Toc360188323"/>
      <w:bookmarkStart w:id="7" w:name="_Toc473560871"/>
      <w:bookmarkStart w:id="8" w:name="_Toc151714359"/>
      <w:r>
        <w:rPr>
          <w:sz w:val="24"/>
          <w:rFonts w:ascii="Times New Roman" w:hAnsi="Times New Roman"/>
        </w:rPr>
        <w:t xml:space="preserve">(...)</w:t>
      </w:r>
    </w:p>
    <w:p w14:paraId="73EBDC1C"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sz w:val="24"/>
          <w:u w:val="none"/>
          <w:rFonts w:ascii="Times New Roman" w:hAnsi="Times New Roman"/>
        </w:rPr>
        <w:t xml:space="preserve">5.</w:t>
      </w:r>
      <w:r>
        <w:tab/>
      </w:r>
      <w:r>
        <w:rPr>
          <w:sz w:val="24"/>
          <w:rFonts w:ascii="Times New Roman" w:hAnsi="Times New Roman"/>
        </w:rPr>
        <w:t xml:space="preserve">Skemaer for markedsrisiko</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fldChar w:fldCharType="begin" w:dirty="true"/>
      </w:r>
      <w:r>
        <w:instrText xml:space="preserve"> seq paragraphs </w:instrText>
      </w:r>
      <w:r>
        <w:fldChar w:fldCharType="separate"/>
      </w:r>
      <w:r>
        <w:t xml:space="preserve">158</w:t>
      </w:r>
      <w:r>
        <w:fldChar w:fldCharType="end"/>
      </w:r>
      <w:r>
        <w:t xml:space="preserve">.</w:t>
      </w:r>
      <w:r>
        <w:tab/>
      </w:r>
      <w:r>
        <w:t xml:space="preserve"> </w:t>
      </w:r>
      <w:r>
        <w:t xml:space="preserve">Disse instrukser beskriver, hvordan skemaerne bruges til at indberette kapitalgrundlagskrav opgjort efter standardmetoden for valutarisiko (MKR SSA FX), råvarerisiko (MKR SSA COM), renterisiko (MKR SSA TDI, MKR SA SEC og MKR SSA CTP) og aktierisiko (MKR SSA EQU).</w:t>
      </w:r>
      <w:r>
        <w:t xml:space="preserve"> </w:t>
      </w:r>
      <w:r>
        <w:t xml:space="preserve">Det beskrives endvidere, hvordan skemaerne bruges til at indberette kapitalgrundlagskrav opgjort efter metoden med interne modeller (MKR IM).</w:t>
      </w:r>
      <w:r>
        <w:t xml:space="preserve"> </w:t>
      </w:r>
    </w:p>
    <w:p w14:paraId="43A205D1" w14:textId="37E67CF7" w:rsidR="000B0B09" w:rsidRPr="004B0EC7" w:rsidRDefault="008F3052" w:rsidP="00660845">
      <w:pPr>
        <w:pStyle w:val="InstructionsText2"/>
        <w:numPr>
          <w:ilvl w:val="0"/>
          <w:numId w:val="0"/>
        </w:numPr>
        <w:ind w:left="993"/>
      </w:pPr>
      <w:r>
        <w:fldChar w:fldCharType="begin" w:dirty="true"/>
      </w:r>
      <w:r>
        <w:instrText>seq paragraphs</w:instrText>
      </w:r>
      <w:r>
        <w:fldChar w:fldCharType="separate"/>
      </w:r>
      <w:r>
        <w:t xml:space="preserve">159</w:t>
      </w:r>
      <w:r>
        <w:fldChar w:fldCharType="end"/>
      </w:r>
      <w:r>
        <w:t xml:space="preserve">.</w:t>
      </w:r>
      <w:r>
        <w:tab/>
      </w:r>
      <w:r>
        <w:t xml:space="preserve"> </w:t>
      </w:r>
      <w:r>
        <w:t xml:space="preserve">Positionsrisikoen i forbindelse med et handlet gældsinstrument eller en handlet aktie (eller derivater af sådanne værdipapirer) opdeles i to komponenter med henblik på at beregne, hvor stor en kapital der kræves for at dække den pågældende risiko.</w:t>
      </w:r>
      <w:r>
        <w:t xml:space="preserve"> </w:t>
      </w:r>
      <w:r>
        <w:t xml:space="preserve">Den ene komponent er dens specifikke risikokomponent — dvs. risikoen for kursændringer for det pågældende instrument på grund af faktorer, der står i forbindelse med emittenten eller for derivaters vedkommende emittenten af det underliggende instrument.</w:t>
      </w:r>
      <w:r>
        <w:t xml:space="preserve"> </w:t>
      </w:r>
      <w:r>
        <w:t xml:space="preserve">Den anden komponent dækker den generelle risiko — dvs. risikoen for en kursændring for instrumentet, der (for handlede gældsinstrumenter eller derivater heraf) skyldes en ændring i rentesatserne eller (for aktier eller aktiederivater) større bevægelser på aktiemarkedet, der ikke står i forbindelse med særlige forhold vedrørende de enkelte værdipapirer.</w:t>
      </w:r>
      <w:r>
        <w:t xml:space="preserve"> </w:t>
      </w:r>
      <w:bookmarkEnd w:id="16"/>
      <w:r>
        <w:t xml:space="preserve">Den generelle behandling af specifikke instrumenter og nettingprocedurer er omhandlet i artikel 326-333 i forordning (EU) nr. 575/2013.</w:t>
      </w:r>
      <w:r>
        <w:t xml:space="preserve"> </w:t>
      </w:r>
    </w:p>
    <w:p w14:paraId="39C5FEA4" w14:textId="0C709FA3"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sz w:val="24"/>
          <w:u w:val="none"/>
          <w:rFonts w:ascii="Times New Roman" w:hAnsi="Times New Roman"/>
        </w:rPr>
        <w:t xml:space="preserve">5.1.</w:t>
      </w:r>
      <w:r>
        <w:tab/>
      </w:r>
      <w:r>
        <w:rPr>
          <w:sz w:val="24"/>
          <w:rFonts w:ascii="Times New Roman" w:hAnsi="Times New Roman"/>
        </w:rPr>
        <w:t xml:space="preserve">C 18.01 – Markedsrisiko:</w:t>
      </w:r>
      <w:r>
        <w:rPr>
          <w:sz w:val="24"/>
          <w:rFonts w:ascii="Times New Roman" w:hAnsi="Times New Roman"/>
        </w:rPr>
        <w:t xml:space="preserve"> </w:t>
      </w:r>
      <w:r>
        <w:rPr>
          <w:sz w:val="24"/>
          <w:rFonts w:ascii="Times New Roman" w:hAnsi="Times New Roman"/>
        </w:rPr>
        <w:t xml:space="preserve">Positionsrisici i handlede gældsinstrumenter opgjort efter den forenklede standardmetode</w:t>
      </w:r>
      <w:bookmarkEnd w:id="17"/>
      <w:bookmarkEnd w:id="18"/>
      <w:bookmarkEnd w:id="19"/>
      <w:bookmarkEnd w:id="20"/>
      <w:bookmarkEnd w:id="21"/>
      <w:bookmarkEnd w:id="22"/>
      <w:r>
        <w:rPr>
          <w:sz w:val="24"/>
          <w:rFonts w:ascii="Times New Roman" w:hAnsi="Times New Roman"/>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sz w:val="24"/>
          <w:u w:val="none"/>
          <w:rFonts w:ascii="Times New Roman" w:hAnsi="Times New Roman"/>
        </w:rPr>
        <w:t xml:space="preserve">5.1.1.</w:t>
      </w:r>
      <w:r>
        <w:tab/>
      </w:r>
      <w:r>
        <w:rPr>
          <w:sz w:val="24"/>
          <w:rFonts w:ascii="Times New Roman" w:hAnsi="Times New Roman"/>
        </w:rPr>
        <w:t xml:space="preserve">Generelle bemærkninger</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fldChar w:fldCharType="begin" w:dirty="true"/>
      </w:r>
      <w:r>
        <w:instrText>seq paragraphs</w:instrText>
      </w:r>
      <w:r>
        <w:fldChar w:fldCharType="separate"/>
      </w:r>
      <w:r>
        <w:t xml:space="preserve">160</w:t>
      </w:r>
      <w:r>
        <w:fldChar w:fldCharType="end"/>
      </w:r>
      <w:r>
        <w:t xml:space="preserve">.</w:t>
      </w:r>
      <w:r>
        <w:tab/>
      </w:r>
      <w:r>
        <w:t xml:space="preserve"> </w:t>
      </w:r>
      <w:r>
        <w:t xml:space="preserve">I dette skema indberettes positionerne og de relaterede kapitalgrundlagskrav vedrørende positionsrisici i forbindelse med handlede gældsinstrumenter ved anvendelse af standardmetoden (artikel 325, stk. 2, litra a), i forordning (EU) nr. 575/2013).</w:t>
      </w:r>
      <w:r>
        <w:t xml:space="preserve"> </w:t>
      </w:r>
      <w:r>
        <w:t xml:space="preserve">De forskellige risici og metoder, der er omhandlet i forordning (EU) nr. 575/2013, gennemgås rækkevist.</w:t>
      </w:r>
      <w:r>
        <w:t xml:space="preserve"> </w:t>
      </w:r>
      <w:r>
        <w:t xml:space="preserve">Den specifikke risiko i forbindelse med eksponeringer, der indgår i MKR SSA SEC og MKR SSA CTP, skal kun indberettes i Total-skemaet i MKR SSA TDI.</w:t>
      </w:r>
      <w:r>
        <w:t xml:space="preserve"> </w:t>
      </w:r>
      <w:r>
        <w:t xml:space="preserve">De kapitalgrundlagskrav, der indberettes i disse skemaer, skal overføres til henholdsvis celle {0325;0060} (securitiseringer) og {0330;0060} (korrelationshandelsportefølje).</w:t>
      </w:r>
    </w:p>
    <w:p w14:paraId="7C8420A5" w14:textId="7A817DE2" w:rsidR="000B0B09" w:rsidRPr="004B0EC7" w:rsidRDefault="008F3052" w:rsidP="00660845">
      <w:pPr>
        <w:pStyle w:val="InstructionsText2"/>
        <w:numPr>
          <w:ilvl w:val="0"/>
          <w:numId w:val="0"/>
        </w:numPr>
        <w:ind w:left="993"/>
      </w:pPr>
      <w:r>
        <w:fldChar w:fldCharType="begin" w:dirty="true"/>
      </w:r>
      <w:r>
        <w:instrText>seq paragraphs</w:instrText>
      </w:r>
      <w:r>
        <w:fldChar w:fldCharType="separate"/>
      </w:r>
      <w:r>
        <w:t xml:space="preserve">161</w:t>
      </w:r>
      <w:r>
        <w:fldChar w:fldCharType="end"/>
      </w:r>
      <w:r>
        <w:t xml:space="preserve">.</w:t>
      </w:r>
      <w:r>
        <w:tab/>
      </w:r>
      <w:r>
        <w:t xml:space="preserve"> </w:t>
      </w:r>
      <w:r>
        <w:t xml:space="preserve">Skemaet skal udfyldes separat for "Total" sammen med en foruddefineret liste af følgende valutaer:</w:t>
      </w:r>
      <w:r>
        <w:t xml:space="preserve"> </w:t>
      </w:r>
      <w:r>
        <w:t xml:space="preserve">EUR, ALL, BGN, CZK, DKK, EGP, GBP, HUF, ISK, JPY, MKD, NOK, PLN, RON, RUB, RSD, SEK, CHF, TRY, UAH, USD samt ét restskema for alle andre valutaer.</w:t>
      </w:r>
      <w:bookmarkStart w:id="32" w:name="OLE_LINK1"/>
      <w:bookmarkEnd w:id="32"/>
      <w:r>
        <w:t xml:space="preserve"> </w:t>
      </w:r>
    </w:p>
    <w:p w14:paraId="73E54EAD" w14:textId="76F64ACC"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sz w:val="24"/>
          <w:u w:val="none"/>
          <w:rFonts w:ascii="Times New Roman" w:hAnsi="Times New Roman"/>
        </w:rPr>
        <w:t xml:space="preserve">5.1.2.</w:t>
      </w:r>
      <w:r>
        <w:tab/>
      </w:r>
      <w:r>
        <w:rPr>
          <w:sz w:val="24"/>
          <w:rFonts w:ascii="Times New Roman" w:hAnsi="Times New Roman"/>
        </w:rPr>
        <w:t xml:space="preserve">Instrukser vedrørende specifikke positioner</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Kolonner</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4" w:type="dxa"/>
          </w:tcPr>
          <w:p w14:paraId="53B61CB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ALLE POSITIONER (LANGE OG KORTE)</w:t>
            </w:r>
          </w:p>
          <w:p w14:paraId="0C799784" w14:textId="63DC6E88" w:rsidR="000B0B09" w:rsidRPr="004B0EC7" w:rsidRDefault="000B0B09" w:rsidP="00D24331">
            <w:pPr>
              <w:rPr>
                <w:sz w:val="24"/>
                <w:rFonts w:ascii="Times New Roman" w:hAnsi="Times New Roman"/>
              </w:rPr>
            </w:pPr>
            <w:r>
              <w:rPr>
                <w:sz w:val="24"/>
                <w:rFonts w:ascii="Times New Roman" w:hAnsi="Times New Roman"/>
              </w:rPr>
              <w:t xml:space="preserve">Artikel 102 og artikel 105, stk. 1, i forordning (EU) nr. 575/2013</w:t>
            </w:r>
            <w:r>
              <w:rPr>
                <w:sz w:val="24"/>
                <w:rFonts w:ascii="Times New Roman" w:hAnsi="Times New Roman"/>
              </w:rPr>
              <w:t xml:space="preserve"> </w:t>
            </w:r>
            <w:r>
              <w:rPr>
                <w:sz w:val="24"/>
                <w:rFonts w:ascii="Times New Roman" w:hAnsi="Times New Roman"/>
              </w:rPr>
              <w:t xml:space="preserve">Disse er bruttopositioner uden indregning af instrumenter, men ekskl. garanterede positioner, som tredjemand har tegnet sig for eller forpligtet sig til at aftage i overensstemmelse med artikel 345, stk. 1, første afsnit, andet punktum, i forordning (EU) nr. 575/2013.</w:t>
            </w:r>
            <w:r>
              <w:rPr>
                <w:sz w:val="24"/>
                <w:rFonts w:ascii="Times New Roman" w:hAnsi="Times New Roman"/>
              </w:rPr>
              <w:t xml:space="preserve"> </w:t>
            </w:r>
            <w:r>
              <w:rPr>
                <w:sz w:val="24"/>
                <w:rFonts w:ascii="Times New Roman" w:hAnsi="Times New Roman"/>
              </w:rPr>
              <w:t xml:space="preserve">Se artikel 328, stk. 2, i forordning (EU) nr. 575/2013 for oplysninger om sondringen mellem lange og korte positioner, som også gælder for disse bruttopositioner.</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874" w:type="dxa"/>
          </w:tcPr>
          <w:p w14:paraId="28E370A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NETTOPOSITIONER (LANGE OG KORTE)</w:t>
            </w:r>
          </w:p>
          <w:p w14:paraId="38649486" w14:textId="21B59DB4" w:rsidR="000B0B09" w:rsidRPr="004B0EC7" w:rsidRDefault="000B0B09" w:rsidP="005B04C9">
            <w:pPr>
              <w:rPr>
                <w:sz w:val="24"/>
                <w:rFonts w:ascii="Times New Roman" w:hAnsi="Times New Roman"/>
              </w:rPr>
            </w:pPr>
            <w:r>
              <w:rPr>
                <w:sz w:val="24"/>
                <w:rFonts w:ascii="Times New Roman" w:hAnsi="Times New Roman"/>
              </w:rPr>
              <w:t xml:space="preserve">Artikel 327-329 og artikel 334 i forordning (EU) nr. 575/2013</w:t>
            </w:r>
            <w:r>
              <w:rPr>
                <w:sz w:val="24"/>
                <w:rFonts w:ascii="Times New Roman" w:hAnsi="Times New Roman"/>
              </w:rPr>
              <w:t xml:space="preserve"> </w:t>
            </w:r>
            <w:r>
              <w:rPr>
                <w:sz w:val="24"/>
                <w:rFonts w:ascii="Times New Roman" w:hAnsi="Times New Roman"/>
              </w:rPr>
              <w:t xml:space="preserve">Se artikel 328, stk. 2, i forordning (EU) nr. 575/2013 for oplysninger om sondringen mellem lange og korte positioner.</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4" w:type="dxa"/>
          </w:tcPr>
          <w:p w14:paraId="28B3043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POSITIONER UNDERLAGT KAPITALKRAV</w:t>
            </w:r>
          </w:p>
          <w:p w14:paraId="76B658E5" w14:textId="104F8165" w:rsidR="000B0B09" w:rsidRPr="004B0EC7" w:rsidRDefault="000B0B09" w:rsidP="007079CE">
            <w:pPr>
              <w:rPr>
                <w:b/>
                <w:bCs/>
                <w:sz w:val="24"/>
                <w:u w:val="single"/>
                <w:rFonts w:ascii="Times New Roman" w:hAnsi="Times New Roman"/>
              </w:rPr>
            </w:pPr>
            <w:r>
              <w:rPr>
                <w:sz w:val="24"/>
                <w:rFonts w:ascii="Times New Roman" w:hAnsi="Times New Roman"/>
              </w:rPr>
              <w:t xml:space="preserve">Nettopositioner, som i henhold til de forskellige metoder, der er omhandlet i tredje del, afsnit IV, kapitel 2, i forordning (EU) nr. 575/2013, pålægges et kapitalkrav.</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KAPITALGRUNDLAGSKRAV FØR ANVENDELSE AF JUSTERINGSFAKTORER</w:t>
            </w:r>
          </w:p>
          <w:p w14:paraId="74F1F61F" w14:textId="1A8933CC" w:rsidR="000B0B09" w:rsidRPr="004B0EC7" w:rsidRDefault="000B0B09" w:rsidP="005B04C9">
            <w:pPr>
              <w:rPr>
                <w:b/>
                <w:bCs/>
                <w:sz w:val="24"/>
                <w:u w:val="single"/>
                <w:rFonts w:ascii="Times New Roman" w:hAnsi="Times New Roman"/>
              </w:rPr>
            </w:pPr>
            <w:r>
              <w:rPr>
                <w:sz w:val="24"/>
                <w:rFonts w:ascii="Times New Roman" w:hAnsi="Times New Roman"/>
              </w:rPr>
              <w:t xml:space="preserve">Kapitalgrundlagskravet for enhver relevant position i overensstemmelse med tredje del, afsnit IV, kapitel 2, i forordning (EU) nr. 575/2013 før anvendelse af de justeringsfaktorer, der er omhandlet i artikel 325, stk. 2, litra a), nr. i), og litra d), i nævnte forordning.</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SAMLET RISIKOEKSPONERING</w:t>
            </w:r>
          </w:p>
          <w:p w14:paraId="2B71E9D1" w14:textId="77777777" w:rsidR="000C566F" w:rsidRPr="004B0EC7" w:rsidRDefault="000B0B09" w:rsidP="00D24331">
            <w:pPr>
              <w:rPr>
                <w:sz w:val="24"/>
                <w:rFonts w:ascii="Times New Roman" w:hAnsi="Times New Roman"/>
              </w:rPr>
            </w:pPr>
            <w:r>
              <w:rPr>
                <w:sz w:val="24"/>
                <w:rFonts w:ascii="Times New Roman" w:hAnsi="Times New Roman"/>
              </w:rPr>
              <w:t xml:space="preserve">Artikel 92, stk. 4, litra b), nr. i), i forordning (EU) nr. 575/2013</w:t>
            </w:r>
          </w:p>
          <w:p w14:paraId="2C4B0E54" w14:textId="046410BB" w:rsidR="000B0B09" w:rsidRPr="004B0EC7" w:rsidRDefault="000B0B09" w:rsidP="00D24331">
            <w:pPr>
              <w:rPr>
                <w:b/>
                <w:bCs/>
                <w:sz w:val="24"/>
                <w:u w:val="single"/>
                <w:rFonts w:ascii="Times New Roman" w:hAnsi="Times New Roman"/>
              </w:rPr>
            </w:pPr>
            <w:r>
              <w:rPr>
                <w:sz w:val="24"/>
                <w:rFonts w:ascii="Times New Roman" w:hAnsi="Times New Roman"/>
              </w:rPr>
              <w:t xml:space="preserve">Resultatet af multiplikationen af kapitalgrundlagskravet med 12,5 i overensstemmelse med artikel 92, stk. 6, litra b), i forordning (EU) nr. 575/2013 og med den gældende justeringsfaktor, jf. artikel 325, stk. 2, litra a), nr. i), og litra d), i nævnte forordning.</w:t>
            </w:r>
            <w:r>
              <w:rPr>
                <w:sz w:val="24"/>
                <w:rFonts w:ascii="Times New Roman" w:hAnsi="Times New Roman"/>
              </w:rPr>
              <w:t xml:space="preserve">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Rækker</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sz w:val="24"/>
                <w:rFonts w:ascii="Times New Roman" w:hAnsi="Times New Roman"/>
              </w:rPr>
            </w:pPr>
            <w:r>
              <w:rPr>
                <w:sz w:val="24"/>
                <w:rFonts w:ascii="Times New Roman" w:hAnsi="Times New Roman"/>
              </w:rPr>
              <w:t xml:space="preserve">0010-0350</w:t>
            </w:r>
          </w:p>
        </w:tc>
        <w:tc>
          <w:tcPr>
            <w:tcW w:w="7875" w:type="dxa"/>
          </w:tcPr>
          <w:p w14:paraId="20DE7F5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HANDLEDE GÆLDSINSTRUMENTER I HANDELSBEHOLDNINGEN</w:t>
            </w:r>
          </w:p>
          <w:p w14:paraId="12C841B7" w14:textId="0DE276AE" w:rsidR="000B0B09" w:rsidRPr="004B0EC7" w:rsidRDefault="000B0B09" w:rsidP="00D24331">
            <w:pPr>
              <w:rPr>
                <w:sz w:val="24"/>
                <w:rFonts w:ascii="Times New Roman" w:hAnsi="Times New Roman"/>
              </w:rPr>
            </w:pPr>
            <w:r>
              <w:rPr>
                <w:sz w:val="24"/>
                <w:rFonts w:ascii="Times New Roman" w:hAnsi="Times New Roman"/>
              </w:rPr>
              <w:t xml:space="preserve">Positioner i handlede gældsinstrumenter i handelsbeholdningen og deres tilsvarende kapitalgrundlagskrav for positionsrisiko i henhold til artikel 92, stk. 4, litra b), nr. i), i forordning (EU) nr. 575/2013 og tredje del, afsnit IV, kapitel 2, i forordning (EU) nr. 575/2013 indberettes afhængigt af risikokategori, løbetid og anvendt metode.</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0011</w:t>
            </w:r>
          </w:p>
        </w:tc>
        <w:tc>
          <w:tcPr>
            <w:tcW w:w="7875" w:type="dxa"/>
          </w:tcPr>
          <w:p w14:paraId="51E03C37"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GENEREL RISIKO</w:t>
            </w:r>
            <w:r>
              <w:rPr>
                <w:b/>
                <w:sz w:val="24"/>
                <w:u w:val="single"/>
                <w:rFonts w:ascii="Times New Roman" w:hAnsi="Times New Roman"/>
              </w:rPr>
              <w:t xml:space="preserve">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0012</w:t>
            </w:r>
          </w:p>
        </w:tc>
        <w:tc>
          <w:tcPr>
            <w:tcW w:w="7875" w:type="dxa"/>
          </w:tcPr>
          <w:p w14:paraId="04F0038F"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Derivater</w:t>
            </w:r>
          </w:p>
          <w:p w14:paraId="06C530F0" w14:textId="7A78F919" w:rsidR="000B0B09" w:rsidRPr="004B0EC7" w:rsidRDefault="000B0B09" w:rsidP="00BD2FE7">
            <w:pPr>
              <w:rPr>
                <w:b/>
                <w:bCs/>
                <w:sz w:val="24"/>
                <w:u w:val="single"/>
                <w:rFonts w:ascii="Times New Roman" w:hAnsi="Times New Roman"/>
              </w:rPr>
            </w:pPr>
            <w:r>
              <w:rPr>
                <w:sz w:val="24"/>
                <w:rFonts w:ascii="Times New Roman" w:hAnsi="Times New Roman"/>
              </w:rPr>
              <w:t xml:space="preserve">Derivater, der indgår i beregningen af renterisikoen ved positioner i handelsbeholdningen, jf. artikel 328-331 i forordning (EU) nr. 575/2013, hvis det er relevant.</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0013</w:t>
            </w:r>
          </w:p>
        </w:tc>
        <w:tc>
          <w:tcPr>
            <w:tcW w:w="7875" w:type="dxa"/>
          </w:tcPr>
          <w:p w14:paraId="6024297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Andre aktiver og passiver</w:t>
            </w:r>
          </w:p>
          <w:p w14:paraId="665719C9" w14:textId="77777777" w:rsidR="000B0B09" w:rsidRPr="004B0EC7" w:rsidRDefault="000B0B09" w:rsidP="00BD2FE7">
            <w:pPr>
              <w:rPr>
                <w:b/>
                <w:bCs/>
                <w:sz w:val="24"/>
                <w:u w:val="single"/>
                <w:rFonts w:ascii="Times New Roman" w:hAnsi="Times New Roman"/>
              </w:rPr>
            </w:pPr>
            <w:r>
              <w:rPr>
                <w:sz w:val="24"/>
                <w:rFonts w:ascii="Times New Roman" w:hAnsi="Times New Roman"/>
              </w:rPr>
              <w:t xml:space="preserve">Andre instrumenter end derivater, der indgår i beregningen af renterisikoen ved positioner i handelsbeholdningen.</w:t>
            </w:r>
            <w:r>
              <w:rPr>
                <w:sz w:val="24"/>
                <w:rFonts w:ascii="Times New Roman" w:hAnsi="Times New Roman"/>
              </w:rPr>
              <w:t xml:space="preserve">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0020-0200</w:t>
            </w:r>
          </w:p>
        </w:tc>
        <w:tc>
          <w:tcPr>
            <w:tcW w:w="7875" w:type="dxa"/>
          </w:tcPr>
          <w:p w14:paraId="1DE7E50A"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LØBETIDSBASERET METODE</w:t>
            </w:r>
          </w:p>
          <w:p w14:paraId="644A7531" w14:textId="609558C7" w:rsidR="000B0B09" w:rsidRPr="004B0EC7" w:rsidRDefault="000B0B09" w:rsidP="00D24331">
            <w:pPr>
              <w:rPr>
                <w:b/>
                <w:bCs/>
                <w:sz w:val="24"/>
                <w:u w:val="single"/>
                <w:rFonts w:ascii="Times New Roman" w:hAnsi="Times New Roman"/>
              </w:rPr>
            </w:pPr>
            <w:r>
              <w:rPr>
                <w:sz w:val="24"/>
                <w:rFonts w:ascii="Times New Roman" w:hAnsi="Times New Roman"/>
              </w:rPr>
              <w:t xml:space="preserve">Positioner i handlede gældsinstrumenter, der opgøres ved hjælp af den løbetidsbaserede metode, jf. artikel 339, stk. 1-8, i forordning (EU) nr. 575/2013, og de tilsvarende kapitalgrundlagskrav beregnet i overensstemmelse med artikel 339, stk. 9, i forordning (EU) nr. 575/2013.</w:t>
            </w:r>
            <w:r>
              <w:rPr>
                <w:sz w:val="24"/>
                <w:rFonts w:ascii="Times New Roman" w:hAnsi="Times New Roman"/>
              </w:rPr>
              <w:t xml:space="preserve"> </w:t>
            </w:r>
            <w:r>
              <w:rPr>
                <w:sz w:val="24"/>
                <w:rFonts w:ascii="Times New Roman" w:hAnsi="Times New Roman"/>
              </w:rPr>
              <w:t xml:space="preserve">Positionen opdeles i zone 1, 2 og 3, og disse zoner opdeles i instrumenternes løbetid.</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0210-0240</w:t>
            </w:r>
          </w:p>
        </w:tc>
        <w:tc>
          <w:tcPr>
            <w:tcW w:w="7875" w:type="dxa"/>
          </w:tcPr>
          <w:p w14:paraId="2CE27E61"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GENEREL RISIKO.</w:t>
            </w:r>
            <w:r>
              <w:rPr>
                <w:b/>
                <w:sz w:val="24"/>
                <w:u w:val="single"/>
                <w:rFonts w:ascii="Times New Roman" w:hAnsi="Times New Roman"/>
              </w:rPr>
              <w:t xml:space="preserve"> </w:t>
            </w:r>
            <w:r>
              <w:rPr>
                <w:b/>
                <w:sz w:val="24"/>
                <w:u w:val="single"/>
                <w:rFonts w:ascii="Times New Roman" w:hAnsi="Times New Roman"/>
              </w:rPr>
              <w:t xml:space="preserve">VARIGHEDSBASERET METODE</w:t>
            </w:r>
          </w:p>
          <w:p w14:paraId="08171DB1" w14:textId="1FFC6791" w:rsidR="000B0B09" w:rsidRPr="004B0EC7" w:rsidRDefault="000B0B09" w:rsidP="00D24331">
            <w:pPr>
              <w:rPr>
                <w:b/>
                <w:bCs/>
                <w:sz w:val="24"/>
                <w:u w:val="single"/>
                <w:rFonts w:ascii="Times New Roman" w:hAnsi="Times New Roman"/>
              </w:rPr>
            </w:pPr>
            <w:r>
              <w:rPr>
                <w:sz w:val="24"/>
                <w:rFonts w:ascii="Times New Roman" w:hAnsi="Times New Roman"/>
              </w:rPr>
              <w:t xml:space="preserve">Positioner i handlede gældsinstrumenter, der opgøres ved hjælp af den varighedsbaserede metode, jf. artikel 340, stk. 1-6, i forordning (EU) nr. 575/2013, og de tilsvarende kapitalgrundlagskrav beregnet i overensstemmelse med artikel 340, stk. 7, i forordning (EU) nr. 575/2013.</w:t>
            </w:r>
            <w:r>
              <w:rPr>
                <w:sz w:val="24"/>
                <w:rFonts w:ascii="Times New Roman" w:hAnsi="Times New Roman"/>
              </w:rPr>
              <w:t xml:space="preserve"> </w:t>
            </w:r>
            <w:r>
              <w:rPr>
                <w:sz w:val="24"/>
                <w:rFonts w:ascii="Times New Roman" w:hAnsi="Times New Roman"/>
              </w:rPr>
              <w:t xml:space="preserve">Positionen opdeles i zone 1, 2 og 3.</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0250</w:t>
            </w:r>
          </w:p>
        </w:tc>
        <w:tc>
          <w:tcPr>
            <w:tcW w:w="7875" w:type="dxa"/>
          </w:tcPr>
          <w:p w14:paraId="6CE50A3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SPECIFIK RISIKO</w:t>
            </w:r>
          </w:p>
          <w:p w14:paraId="29C6E3D0" w14:textId="77777777" w:rsidR="000B0B09" w:rsidRPr="004B0EC7" w:rsidRDefault="000B0B09" w:rsidP="00BD2FE7">
            <w:pPr>
              <w:rPr>
                <w:sz w:val="24"/>
                <w:rFonts w:ascii="Times New Roman" w:hAnsi="Times New Roman"/>
              </w:rPr>
            </w:pPr>
            <w:r>
              <w:rPr>
                <w:sz w:val="24"/>
                <w:rFonts w:ascii="Times New Roman" w:hAnsi="Times New Roman"/>
              </w:rPr>
              <w:t xml:space="preserve">Summen af beløb indberettet i række 0251, 0325 og 0330.</w:t>
            </w:r>
            <w:r>
              <w:rPr>
                <w:sz w:val="24"/>
                <w:rFonts w:ascii="Times New Roman" w:hAnsi="Times New Roman"/>
              </w:rPr>
              <w:t xml:space="preserve"> </w:t>
            </w:r>
          </w:p>
          <w:p w14:paraId="4E1E5CA2" w14:textId="0BF89FF6" w:rsidR="000B0B09" w:rsidRPr="004B0EC7" w:rsidRDefault="000B0B09" w:rsidP="00D24331">
            <w:pPr>
              <w:rPr>
                <w:b/>
                <w:bCs/>
                <w:sz w:val="24"/>
                <w:u w:val="single"/>
                <w:rFonts w:ascii="Times New Roman" w:hAnsi="Times New Roman"/>
              </w:rPr>
            </w:pPr>
            <w:r>
              <w:rPr>
                <w:sz w:val="24"/>
                <w:rFonts w:ascii="Times New Roman" w:hAnsi="Times New Roman"/>
              </w:rPr>
              <w:t xml:space="preserve">Positioner i handlede gældsinstrumenter, der er omfattet af kapitalkravene for specifik risiko og deres tilsvarende kapitalkrav i henhold til artikel 92, stk. 4, litra b), og artikel 335, artikel 336, stk. 1, 2 og 3, og artikel 337 og 338 i forordning (EU) nr. 575/2013.</w:t>
            </w:r>
            <w:r>
              <w:rPr>
                <w:sz w:val="24"/>
                <w:rFonts w:ascii="Times New Roman" w:hAnsi="Times New Roman"/>
              </w:rPr>
              <w:t xml:space="preserve"> </w:t>
            </w:r>
            <w:r>
              <w:rPr>
                <w:sz w:val="24"/>
                <w:rFonts w:ascii="Times New Roman" w:hAnsi="Times New Roman"/>
              </w:rPr>
              <w:t xml:space="preserve">Bemærk også det sidste punktum i artikel 327, stk. 1, i forordning (EU) nr. 575/2013.</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0251-0321</w:t>
            </w:r>
          </w:p>
        </w:tc>
        <w:tc>
          <w:tcPr>
            <w:tcW w:w="7875" w:type="dxa"/>
          </w:tcPr>
          <w:p w14:paraId="14764BB8"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Kapitalgrundlagskrav i relation til gældsinstrumenter, som ikke er securitiseringsinstrumenter</w:t>
            </w:r>
          </w:p>
          <w:p w14:paraId="19437B35" w14:textId="77777777" w:rsidR="000B0B09" w:rsidRPr="004B0EC7" w:rsidRDefault="000B0B09" w:rsidP="007B2F85">
            <w:pPr>
              <w:rPr>
                <w:sz w:val="24"/>
                <w:rFonts w:ascii="Times New Roman" w:hAnsi="Times New Roman"/>
              </w:rPr>
            </w:pPr>
            <w:r>
              <w:rPr>
                <w:sz w:val="24"/>
                <w:rFonts w:ascii="Times New Roman" w:hAnsi="Times New Roman"/>
              </w:rPr>
              <w:t xml:space="preserve">Summen af beløb indberettet i række 260-321.</w:t>
            </w:r>
          </w:p>
          <w:p w14:paraId="4CDA5DEB" w14:textId="3E49784D" w:rsidR="000B0B09" w:rsidRPr="004B0EC7" w:rsidRDefault="000B0B09" w:rsidP="00BD2FE7">
            <w:pPr>
              <w:rPr>
                <w:sz w:val="24"/>
                <w:rFonts w:ascii="Times New Roman" w:hAnsi="Times New Roman"/>
              </w:rPr>
            </w:pPr>
            <w:r>
              <w:rPr>
                <w:sz w:val="24"/>
                <w:rFonts w:ascii="Times New Roman" w:hAnsi="Times New Roman"/>
              </w:rPr>
              <w:t xml:space="preserve">Kapitalgrundlagskravet for "nth to default"-kreditderivater, som ikke har en ekstern rating, skal beregnes ved at addere risikovægtene for referenceenhederne (artikel 332, stk. 1, litra e), og artikel 332, stk. 1, andet afsnit, i forordning (EU) nr. 575/2013 — "look-through").</w:t>
            </w:r>
            <w:r>
              <w:rPr>
                <w:sz w:val="24"/>
                <w:rFonts w:ascii="Times New Roman" w:hAnsi="Times New Roman"/>
              </w:rPr>
              <w:t xml:space="preserve"> </w:t>
            </w:r>
            <w:r>
              <w:rPr>
                <w:sz w:val="24"/>
                <w:rFonts w:ascii="Times New Roman" w:hAnsi="Times New Roman"/>
              </w:rPr>
              <w:t xml:space="preserve">"Nth to default"-kreditderivater, som har en ekstern rating (artikel 332, stk. 1, tredje afsnit, i forordning (EU) nr. 575/2013), indberettes særskilt i række 321.</w:t>
            </w:r>
            <w:r>
              <w:rPr>
                <w:sz w:val="24"/>
                <w:rFonts w:ascii="Times New Roman" w:hAnsi="Times New Roman"/>
              </w:rPr>
              <w:t xml:space="preserve"> </w:t>
            </w:r>
          </w:p>
          <w:p w14:paraId="7051ED04" w14:textId="663FE04C" w:rsidR="000B0B09" w:rsidRPr="004B0EC7" w:rsidRDefault="000B0B09" w:rsidP="00BD2FE7">
            <w:pPr>
              <w:rPr>
                <w:sz w:val="24"/>
                <w:rFonts w:ascii="Times New Roman" w:hAnsi="Times New Roman"/>
              </w:rPr>
            </w:pPr>
            <w:r>
              <w:rPr>
                <w:sz w:val="24"/>
                <w:rFonts w:ascii="Times New Roman" w:hAnsi="Times New Roman"/>
              </w:rPr>
              <w:t xml:space="preserve">Indberetning af positioner omfattet af artikel 336, stk. 3, i forordning (EU) nr. 575/2013:</w:t>
            </w:r>
            <w:r>
              <w:rPr>
                <w:sz w:val="24"/>
                <w:rFonts w:ascii="Times New Roman" w:hAnsi="Times New Roman"/>
              </w:rPr>
              <w:t xml:space="preserve"> </w:t>
            </w:r>
            <w:r>
              <w:rPr>
                <w:sz w:val="24"/>
                <w:rFonts w:ascii="Times New Roman" w:hAnsi="Times New Roman"/>
              </w:rPr>
              <w:t xml:space="preserve">Obligationer, der er berettigede til en risikovægt på 10 % i anlægsbeholdningen i henhold til artikel 129, stk. 3, i forordning (EU) nr. 575/2013 (særligt dækkede obligationer og særligt dækkede realkreditobligationer), behandles særskilt.</w:t>
            </w:r>
            <w:r>
              <w:rPr>
                <w:sz w:val="24"/>
                <w:rFonts w:ascii="Times New Roman" w:hAnsi="Times New Roman"/>
              </w:rPr>
              <w:t xml:space="preserve"> </w:t>
            </w:r>
            <w:r>
              <w:rPr>
                <w:sz w:val="24"/>
                <w:rFonts w:ascii="Times New Roman" w:hAnsi="Times New Roman"/>
              </w:rPr>
              <w:t xml:space="preserve">Kapitalgrundlagskravet for specifik risiko er halvdelen af procentdelen for den anden kategori i artikel 336, tabel 1, i forordning (EU) nr. 575/2013.</w:t>
            </w:r>
            <w:r>
              <w:rPr>
                <w:sz w:val="24"/>
                <w:rFonts w:ascii="Times New Roman" w:hAnsi="Times New Roman"/>
              </w:rPr>
              <w:t xml:space="preserve"> </w:t>
            </w:r>
            <w:r>
              <w:rPr>
                <w:sz w:val="24"/>
                <w:rFonts w:ascii="Times New Roman" w:hAnsi="Times New Roman"/>
              </w:rPr>
              <w:t xml:space="preserve">Disse poster skal anføres i række 0280-0300 i henhold til restløbetiden.</w:t>
            </w:r>
          </w:p>
          <w:p w14:paraId="11FE9AD5" w14:textId="13EA9F09" w:rsidR="000B0B09" w:rsidRPr="004B0EC7" w:rsidRDefault="00F41508" w:rsidP="0002267E">
            <w:pPr>
              <w:rPr>
                <w:b/>
                <w:bCs/>
                <w:sz w:val="24"/>
                <w:u w:val="single"/>
                <w:rFonts w:ascii="Times New Roman" w:hAnsi="Times New Roman"/>
              </w:rPr>
            </w:pPr>
            <w:r>
              <w:rPr>
                <w:sz w:val="24"/>
                <w:rFonts w:ascii="Times New Roman" w:hAnsi="Times New Roman"/>
              </w:rPr>
              <w:t xml:space="preserve">Hvis den generelle risiko i forbindelse med rentepositioner sikres med et kreditderivat, anvendes artikel 346 og 347 i forordning (EU) nr. 575/2013.</w:t>
            </w:r>
            <w:r>
              <w:rPr>
                <w:sz w:val="24"/>
                <w:rFonts w:ascii="Times New Roman" w:hAnsi="Times New Roman"/>
              </w:rPr>
              <w:t xml:space="preserve">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0325</w:t>
            </w:r>
          </w:p>
        </w:tc>
        <w:tc>
          <w:tcPr>
            <w:tcW w:w="7875" w:type="dxa"/>
          </w:tcPr>
          <w:p w14:paraId="21ACC24B"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Kapitalgrundlagskrav for securitiseringsinstrumenter</w:t>
            </w:r>
          </w:p>
          <w:p w14:paraId="7BA68AB7" w14:textId="7771B388" w:rsidR="00722A10" w:rsidRPr="004B0EC7" w:rsidDel="00F27BD6" w:rsidRDefault="000B0B09" w:rsidP="0002267E">
            <w:pPr>
              <w:rPr>
                <w:b/>
                <w:bCs/>
                <w:sz w:val="24"/>
                <w:u w:val="single"/>
                <w:rFonts w:ascii="Times New Roman" w:hAnsi="Times New Roman"/>
              </w:rPr>
            </w:pPr>
            <w:r>
              <w:rPr>
                <w:sz w:val="24"/>
                <w:rFonts w:ascii="Times New Roman" w:hAnsi="Times New Roman"/>
              </w:rPr>
              <w:t xml:space="preserve">De samlede kapitalgrundlagskrav indberettet i kolonne 0601 i MKR SSA SEC-skemaet. Disse samlede kapitalgrundlagskrav indberettes kun på Total-niveauet i MKR SSA TDI.</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0330</w:t>
            </w:r>
          </w:p>
        </w:tc>
        <w:tc>
          <w:tcPr>
            <w:tcW w:w="7875" w:type="dxa"/>
          </w:tcPr>
          <w:p w14:paraId="66957FAA"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Kapitalgrundlagskrav for korrelationshandelsporteføljen</w:t>
            </w:r>
          </w:p>
          <w:p w14:paraId="104F8330" w14:textId="55BA6B97" w:rsidR="00722A10" w:rsidRPr="004B0EC7" w:rsidDel="00F27BD6" w:rsidRDefault="000B0B09" w:rsidP="0002267E">
            <w:pPr>
              <w:rPr>
                <w:b/>
                <w:bCs/>
                <w:sz w:val="24"/>
                <w:u w:val="single"/>
                <w:rFonts w:ascii="Times New Roman" w:hAnsi="Times New Roman"/>
              </w:rPr>
            </w:pPr>
            <w:r>
              <w:rPr>
                <w:sz w:val="24"/>
                <w:rFonts w:ascii="Times New Roman" w:hAnsi="Times New Roman"/>
              </w:rPr>
              <w:t xml:space="preserve">De samlede kapitalgrundlagskrav indberettet i kolonne 0450 i MKR SSA CTP-skemaet.</w:t>
            </w:r>
            <w:r>
              <w:rPr>
                <w:sz w:val="24"/>
                <w:rFonts w:ascii="Times New Roman" w:hAnsi="Times New Roman"/>
              </w:rPr>
              <w:t xml:space="preserve"> </w:t>
            </w:r>
            <w:r>
              <w:rPr>
                <w:sz w:val="24"/>
                <w:rFonts w:ascii="Times New Roman" w:hAnsi="Times New Roman"/>
              </w:rPr>
              <w:t xml:space="preserve">Disse samlede kapitalgrundlagskrav indberettes kun på Total-niveauet i MKR SSA TDI.</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sz w:val="24"/>
                <w:rFonts w:ascii="Times New Roman" w:hAnsi="Times New Roman"/>
              </w:rPr>
            </w:pPr>
            <w:r>
              <w:rPr>
                <w:rStyle w:val="InstructionsTabelleberschrift"/>
                <w:sz w:val="24"/>
                <w:rFonts w:ascii="Times New Roman" w:hAnsi="Times New Roman"/>
              </w:rPr>
              <w:t xml:space="preserve">YDERLIGERE KRAV TIL OPTIONER (BORTSET FRA DELTARISICI)</w:t>
            </w:r>
            <w:r>
              <w:rPr>
                <w:rStyle w:val="InstructionsTabelleberschrift"/>
                <w:sz w:val="24"/>
                <w:rFonts w:ascii="Times New Roman" w:hAnsi="Times New Roman"/>
              </w:rPr>
              <w:t xml:space="preserve"> </w:t>
            </w:r>
          </w:p>
          <w:p w14:paraId="3B19069A" w14:textId="2AE3D272" w:rsidR="000B0B09" w:rsidRPr="004B0EC7" w:rsidRDefault="000B0B09" w:rsidP="00BD2FE7">
            <w:pPr>
              <w:rPr>
                <w:sz w:val="24"/>
                <w:rFonts w:ascii="Times New Roman" w:hAnsi="Times New Roman"/>
              </w:rPr>
            </w:pPr>
            <w:r>
              <w:rPr>
                <w:sz w:val="24"/>
                <w:rFonts w:ascii="Times New Roman" w:hAnsi="Times New Roman"/>
              </w:rPr>
              <w:t xml:space="preserve">Artikel 329, stk. 3, i forordning (EU) nr. 575/2013</w:t>
            </w:r>
          </w:p>
          <w:p w14:paraId="4A1F04EE" w14:textId="77777777" w:rsidR="000B0B09" w:rsidRPr="004B0EC7" w:rsidRDefault="000B0B09" w:rsidP="0002267E">
            <w:pPr>
              <w:rPr>
                <w:bCs/>
                <w:sz w:val="24"/>
                <w:rFonts w:ascii="Times New Roman" w:hAnsi="Times New Roman"/>
              </w:rPr>
            </w:pPr>
            <w:r>
              <w:rPr>
                <w:sz w:val="24"/>
                <w:rFonts w:ascii="Times New Roman" w:hAnsi="Times New Roman"/>
              </w:rPr>
              <w:t xml:space="preserve">De yderligere krav til optioner vedrørende andre risici end deltarisici indberettes opdelt ved hjælp af den metode, der er anvendt til beregningen heraf.</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sz w:val="24"/>
          <w:u w:val="none"/>
          <w:rFonts w:ascii="Times New Roman" w:hAnsi="Times New Roman"/>
        </w:rPr>
        <w:t xml:space="preserve">5.2.</w:t>
      </w:r>
      <w:r>
        <w:tab/>
      </w:r>
      <w:r>
        <w:rPr>
          <w:sz w:val="24"/>
          <w:rFonts w:ascii="Times New Roman" w:hAnsi="Times New Roman"/>
        </w:rPr>
        <w:t xml:space="preserve">C 19.01 – Markedsrisiko:</w:t>
      </w:r>
      <w:r>
        <w:rPr>
          <w:sz w:val="24"/>
          <w:rFonts w:ascii="Times New Roman" w:hAnsi="Times New Roman"/>
        </w:rPr>
        <w:t xml:space="preserve"> </w:t>
      </w:r>
      <w:r>
        <w:rPr>
          <w:sz w:val="24"/>
          <w:rFonts w:ascii="Times New Roman" w:hAnsi="Times New Roman"/>
        </w:rPr>
        <w:t xml:space="preserve">Specifik risiko i securitiseringer opgjort efter den forenklede standardmetode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sz w:val="24"/>
          <w:u w:val="none"/>
          <w:rFonts w:ascii="Times New Roman" w:hAnsi="Times New Roman"/>
        </w:rPr>
        <w:t xml:space="preserve">5.2.1.</w:t>
      </w:r>
      <w:r>
        <w:tab/>
      </w:r>
      <w:r>
        <w:rPr>
          <w:sz w:val="24"/>
          <w:rFonts w:ascii="Times New Roman" w:hAnsi="Times New Roman"/>
        </w:rPr>
        <w:t xml:space="preserve">Generelle bemærkninger</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fldChar w:fldCharType="begin" w:dirty="true"/>
      </w:r>
      <w:r>
        <w:instrText xml:space="preserve"> seq paragraphs </w:instrText>
      </w:r>
      <w:r>
        <w:fldChar w:fldCharType="separate"/>
      </w:r>
      <w:r>
        <w:t xml:space="preserve">162</w:t>
      </w:r>
      <w:r>
        <w:fldChar w:fldCharType="end"/>
      </w:r>
      <w:r>
        <w:t xml:space="preserve">.</w:t>
      </w:r>
      <w:r>
        <w:tab/>
      </w:r>
      <w:r>
        <w:t xml:space="preserve"> </w:t>
      </w:r>
      <w:r>
        <w:t xml:space="preserve">I dette skema indberettes der oplysninger om positioner (alle/netto og lange/korte) og de relaterede kapitalgrundlagskrav for den specifikke risikokomponent af positionsrisiko i securitiseringer/resecuritiseringer i handelsbeholdningen (kan ikke indgå i korrelationshandelsporteføljen) opgjort efter standardmetoden.</w:t>
      </w:r>
      <w:r>
        <w:t xml:space="preserve"> </w:t>
      </w:r>
    </w:p>
    <w:p w14:paraId="2729DF95" w14:textId="73D4DCFE" w:rsidR="00FC6275" w:rsidRPr="004B0EC7" w:rsidRDefault="008F3052" w:rsidP="00660845">
      <w:pPr>
        <w:pStyle w:val="InstructionsText2"/>
        <w:numPr>
          <w:ilvl w:val="0"/>
          <w:numId w:val="0"/>
        </w:numPr>
        <w:ind w:left="993"/>
      </w:pPr>
      <w:r>
        <w:fldChar w:fldCharType="begin" w:dirty="true"/>
      </w:r>
      <w:r>
        <w:instrText>seq paragraphs</w:instrText>
      </w:r>
      <w:r>
        <w:fldChar w:fldCharType="separate"/>
      </w:r>
      <w:r>
        <w:t xml:space="preserve">163</w:t>
      </w:r>
      <w:r>
        <w:fldChar w:fldCharType="end"/>
      </w:r>
      <w:r>
        <w:t xml:space="preserve">.</w:t>
      </w:r>
      <w:r>
        <w:tab/>
      </w:r>
      <w:r>
        <w:t xml:space="preserve"> </w:t>
      </w:r>
      <w:r>
        <w:t xml:space="preserve">MKR SSA SEC-skemaet præsenterer kun kapitalgrundlagskrav for den specifikke risiko i forbindelse med securitiseringspositioner i overensstemmelse med artikel 335 i forordning (EU) nr. 575/2013 sammenholdt med artikel 337 i nævnte forordning.</w:t>
      </w:r>
      <w:r>
        <w:t xml:space="preserve"> </w:t>
      </w:r>
      <w:r>
        <w:t xml:space="preserve">Hvis securitiseringspositioner i handelsbeholdningen sikres med kreditderivater, finder artikel 346 og 347 i forordning (EU) nr. 575/2013 anvendelse.</w:t>
      </w:r>
      <w:r>
        <w:t xml:space="preserve"> </w:t>
      </w:r>
      <w:r>
        <w:t xml:space="preserve">Der er kun ét skema for alle positioner i handelsbeholdningen, uanset hvilken metode institutter anvender til at fastlægge risikovægten for hver af positionerne i overensstemmelse med tredje del, afsnit II, kapitel 5, i forordning (EU) nr. 575/2013.</w:t>
      </w:r>
      <w:r>
        <w:t xml:space="preserve"> </w:t>
      </w:r>
      <w:r>
        <w:t xml:space="preserve">Indberetningen af kapitalgrundlagskravene for den generelle risiko i forbindelse med disse eksponeringer foretages i MKR SSA TDI- eller MKR IM-skemaet.</w:t>
      </w:r>
    </w:p>
    <w:p w14:paraId="0C732A14" w14:textId="7B6E3BDD" w:rsidR="00FC6275" w:rsidRPr="004B0EC7" w:rsidRDefault="008F3052" w:rsidP="00660845">
      <w:pPr>
        <w:pStyle w:val="InstructionsText2"/>
        <w:numPr>
          <w:ilvl w:val="0"/>
          <w:numId w:val="0"/>
        </w:numPr>
        <w:ind w:left="993"/>
      </w:pPr>
      <w:r>
        <w:fldChar w:fldCharType="begin" w:dirty="true"/>
      </w:r>
      <w:r>
        <w:instrText>seq paragraphs</w:instrText>
      </w:r>
      <w:r>
        <w:fldChar w:fldCharType="separate"/>
      </w:r>
      <w:r>
        <w:t xml:space="preserve">164</w:t>
      </w:r>
      <w:r>
        <w:fldChar w:fldCharType="end"/>
      </w:r>
      <w:r>
        <w:t xml:space="preserve">.</w:t>
      </w:r>
      <w:r>
        <w:t xml:space="preserve"> </w:t>
      </w:r>
      <w:r>
        <w:t xml:space="preserve">Positioner, som tillægges en risikovægt på 1 250 % kan alternativt fratrækkes den egentlige kernekapital (se artikel 244, stk. 1, litra b), artikel 245, stk. 1, litra b), og artikel 253 i forordning (EU) nr. 575/2013).</w:t>
      </w:r>
      <w:r>
        <w:t xml:space="preserve"> </w:t>
      </w:r>
      <w:r>
        <w:t xml:space="preserve">I så fald skal disse positioner indberettes i række 0460 i CA1.</w:t>
      </w:r>
    </w:p>
    <w:p w14:paraId="3921F7AA" w14:textId="56C18CF3"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60" w:name="_Toc151714491"/>
      <w:r>
        <w:rPr>
          <w:sz w:val="24"/>
          <w:u w:val="none"/>
          <w:rFonts w:ascii="Times New Roman" w:hAnsi="Times New Roman"/>
        </w:rPr>
        <w:t xml:space="preserve">5.2.2.</w:t>
      </w:r>
      <w:r>
        <w:tab/>
      </w:r>
      <w:r>
        <w:rPr>
          <w:sz w:val="24"/>
          <w:rFonts w:ascii="Times New Roman" w:hAnsi="Times New Roman"/>
        </w:rPr>
        <w:t xml:space="preserve">Instrukser vedrørende specifikke positioner</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Kolonner</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605" w:type="dxa"/>
          </w:tcPr>
          <w:p w14:paraId="37C65F35"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ALLE POSITIONER (LANGE OG KORTE)</w:t>
            </w:r>
          </w:p>
          <w:p w14:paraId="503F4241" w14:textId="5A1E85D7" w:rsidR="00C55547" w:rsidRPr="004B0EC7" w:rsidRDefault="00C55547" w:rsidP="007062FD">
            <w:pPr>
              <w:rPr>
                <w:sz w:val="24"/>
                <w:rFonts w:ascii="Times New Roman" w:hAnsi="Times New Roman"/>
              </w:rPr>
            </w:pPr>
            <w:r>
              <w:rPr>
                <w:sz w:val="24"/>
                <w:rFonts w:ascii="Times New Roman" w:hAnsi="Times New Roman"/>
              </w:rPr>
              <w:t xml:space="preserve">Artikel 102 og artikel 105, stk. 1, i forordning (EU) nr. 575/2013 sammenholdt med artikel 337 i nævnte forordning (securitiseringspositioner).</w:t>
            </w:r>
            <w:r>
              <w:rPr>
                <w:sz w:val="24"/>
                <w:rStyle w:val="InstructionsTabelleText"/>
                <w:rFonts w:ascii="Times New Roman" w:hAnsi="Times New Roman"/>
              </w:rPr>
              <w:t xml:space="preserve"> </w:t>
            </w:r>
            <w:r>
              <w:rPr>
                <w:sz w:val="24"/>
                <w:rFonts w:ascii="Times New Roman" w:hAnsi="Times New Roman"/>
              </w:rPr>
              <w:t xml:space="preserve">Se artikel 328, stk. 2, i forordning (EU) nr. 575/2013 for oplysninger om sondringen mellem lange og korte positioner, som også gælder for disse bruttopositioner.</w:t>
            </w:r>
            <w:r>
              <w:rPr>
                <w:sz w:val="24"/>
                <w:rStyle w:val="InstructionsTabelleText"/>
                <w:rFonts w:ascii="Times New Roman" w:hAnsi="Times New Roman"/>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605" w:type="dxa"/>
          </w:tcPr>
          <w:p w14:paraId="511B0208" w14:textId="77777777" w:rsidR="00C55547" w:rsidRPr="004B0EC7" w:rsidRDefault="00C55547" w:rsidP="00E10B85">
            <w:pPr>
              <w:rPr>
                <w:rStyle w:val="InstructionsTabelleberschrift"/>
                <w:sz w:val="24"/>
                <w:rFonts w:ascii="Times New Roman" w:hAnsi="Times New Roman"/>
              </w:rPr>
            </w:pPr>
            <w:r>
              <w:rPr>
                <w:sz w:val="24"/>
                <w:rStyle w:val="InstructionsTabelleberschrift"/>
                <w:rFonts w:ascii="Times New Roman" w:hAnsi="Times New Roman"/>
              </w:rPr>
              <w:t xml:space="preserve">(-) POSITIONER, DER FRATRÆKKES KAPITALGRUNDLAGET (LANGE OG KORTE)</w:t>
            </w:r>
          </w:p>
          <w:p w14:paraId="1429CBFE" w14:textId="010B8175" w:rsidR="00C55547" w:rsidRPr="004B0EC7" w:rsidRDefault="00705025" w:rsidP="00D24331">
            <w:pPr>
              <w:rPr>
                <w:rStyle w:val="InstructionsTabelleText"/>
                <w:sz w:val="24"/>
                <w:rFonts w:ascii="Times New Roman" w:hAnsi="Times New Roman"/>
              </w:rPr>
            </w:pPr>
            <w:r>
              <w:rPr>
                <w:sz w:val="24"/>
                <w:rStyle w:val="InstructionsTabelleText"/>
                <w:rFonts w:ascii="Times New Roman" w:hAnsi="Times New Roman"/>
              </w:rPr>
              <w:t xml:space="preserve"> </w:t>
            </w:r>
            <w:r>
              <w:rPr>
                <w:sz w:val="24"/>
                <w:rFonts w:ascii="Times New Roman" w:hAnsi="Times New Roman"/>
              </w:rPr>
              <w:t xml:space="preserve">Artikel 244, stk. 1, litra b), artikel 245, stk. 1, litra b), og artikel 253 i forordning (EU) nr. 575/2013</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0050-0060</w:t>
            </w:r>
          </w:p>
        </w:tc>
        <w:tc>
          <w:tcPr>
            <w:tcW w:w="7605" w:type="dxa"/>
          </w:tcPr>
          <w:p w14:paraId="088E4387" w14:textId="77777777" w:rsidR="00C55547" w:rsidRPr="004B0EC7" w:rsidRDefault="00C55547" w:rsidP="00E10B85">
            <w:pPr>
              <w:rPr>
                <w:rStyle w:val="InstructionsTabelleberschrift"/>
                <w:sz w:val="24"/>
                <w:rFonts w:ascii="Times New Roman" w:hAnsi="Times New Roman"/>
              </w:rPr>
            </w:pPr>
            <w:r>
              <w:rPr>
                <w:sz w:val="24"/>
                <w:b/>
                <w:u w:val="single"/>
                <w:rFonts w:ascii="Times New Roman" w:hAnsi="Times New Roman"/>
              </w:rPr>
              <w:t xml:space="preserve">NETTOPOSITIONER (LANGE OG KORTE)</w:t>
            </w:r>
          </w:p>
          <w:p w14:paraId="54C14D76" w14:textId="7E4CA859" w:rsidR="00C55547" w:rsidRPr="004B0EC7" w:rsidRDefault="00C55547" w:rsidP="003073B2">
            <w:pPr>
              <w:rPr>
                <w:rStyle w:val="InstructionsTabelleText"/>
                <w:sz w:val="24"/>
                <w:rFonts w:ascii="Times New Roman" w:hAnsi="Times New Roman"/>
              </w:rPr>
            </w:pPr>
            <w:r>
              <w:rPr>
                <w:sz w:val="24"/>
                <w:rFonts w:ascii="Times New Roman" w:hAnsi="Times New Roman"/>
              </w:rPr>
              <w:t xml:space="preserve">Artikel 327, 328, 329 og 334 i forordning (EU) nr. 575/2013</w:t>
            </w:r>
            <w:r>
              <w:rPr>
                <w:sz w:val="24"/>
                <w:rStyle w:val="InstructionsTabelleText"/>
                <w:rFonts w:ascii="Times New Roman" w:hAnsi="Times New Roman"/>
              </w:rPr>
              <w:t xml:space="preserve"> </w:t>
            </w:r>
            <w:r>
              <w:rPr>
                <w:sz w:val="24"/>
                <w:rFonts w:ascii="Times New Roman" w:hAnsi="Times New Roman"/>
              </w:rPr>
              <w:t xml:space="preserve">Se artikel 328, stk. 2, i forordning (EU) nr. 575/2013 for oplysninger om sondringen mellem lange og korte positioner.</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sz w:val="24"/>
                <w:rFonts w:ascii="Times New Roman" w:hAnsi="Times New Roman"/>
              </w:rPr>
            </w:pPr>
            <w:r>
              <w:rPr>
                <w:sz w:val="24"/>
                <w:rFonts w:ascii="Times New Roman" w:hAnsi="Times New Roman"/>
              </w:rPr>
              <w:t xml:space="preserve">0061-0104</w:t>
            </w:r>
          </w:p>
        </w:tc>
        <w:tc>
          <w:tcPr>
            <w:tcW w:w="7605" w:type="dxa"/>
          </w:tcPr>
          <w:p w14:paraId="627BB4B0"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OPDELING AF NETTOPOSITIONER EFTER RISIKOVÆGT</w:t>
            </w:r>
          </w:p>
          <w:p w14:paraId="3ECFC065" w14:textId="41D71775" w:rsidR="00C3548F" w:rsidRPr="004B0EC7" w:rsidRDefault="00C55547" w:rsidP="003073B2">
            <w:pPr>
              <w:rPr>
                <w:rStyle w:val="InstructionsTabelleText"/>
                <w:sz w:val="24"/>
                <w:rFonts w:ascii="Times New Roman" w:hAnsi="Times New Roman"/>
              </w:rPr>
            </w:pPr>
            <w:r>
              <w:rPr>
                <w:sz w:val="24"/>
                <w:rFonts w:ascii="Times New Roman" w:hAnsi="Times New Roman"/>
              </w:rPr>
              <w:t xml:space="preserve">Artikel 259-262, artikel 263, tabel 1 og 2, artikel 264, tabel 3 og 4, og artikel 266 i forordning (EU) nr. 575/2013</w:t>
            </w:r>
            <w:r>
              <w:rPr>
                <w:sz w:val="24"/>
                <w:rStyle w:val="InstructionsTabelleText"/>
                <w:rFonts w:ascii="Times New Roman" w:hAnsi="Times New Roman"/>
              </w:rPr>
              <w:t xml:space="preserve"> </w:t>
            </w:r>
          </w:p>
          <w:p w14:paraId="4314B137" w14:textId="77777777" w:rsidR="00C55547" w:rsidRPr="004B0EC7" w:rsidRDefault="00C55547" w:rsidP="003073B2">
            <w:pPr>
              <w:rPr>
                <w:rStyle w:val="InstructionsTabelleText"/>
                <w:sz w:val="24"/>
                <w:rFonts w:ascii="Times New Roman" w:hAnsi="Times New Roman"/>
              </w:rPr>
            </w:pPr>
            <w:r>
              <w:rPr>
                <w:rStyle w:val="InstructionsTabelleText"/>
                <w:sz w:val="24"/>
                <w:rFonts w:ascii="Times New Roman" w:hAnsi="Times New Roman"/>
              </w:rPr>
              <w:t xml:space="preserve">Denne opdeling foretages separat for lange og korte positioner.</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0402-0406</w:t>
            </w:r>
          </w:p>
        </w:tc>
        <w:tc>
          <w:tcPr>
            <w:tcW w:w="7605" w:type="dxa"/>
          </w:tcPr>
          <w:p w14:paraId="2AF3DBA4"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OPDELING AF NETTOPOSITIONER EFTER METODE</w:t>
            </w:r>
          </w:p>
          <w:p w14:paraId="683DE902" w14:textId="55DF04AD" w:rsidR="00C55547" w:rsidRPr="004B0EC7" w:rsidRDefault="00C55547" w:rsidP="003073B2">
            <w:pPr>
              <w:rPr>
                <w:b/>
                <w:bCs/>
                <w:sz w:val="24"/>
                <w:u w:val="single"/>
                <w:rFonts w:ascii="Times New Roman" w:hAnsi="Times New Roman"/>
              </w:rPr>
            </w:pPr>
            <w:r>
              <w:rPr>
                <w:sz w:val="24"/>
                <w:rFonts w:ascii="Times New Roman" w:hAnsi="Times New Roman"/>
              </w:rPr>
              <w:t xml:space="preserve">Artikel 254 i forordning (EU) nr. 575/2013</w:t>
            </w:r>
            <w:r>
              <w:rPr>
                <w:sz w:val="24"/>
                <w:rStyle w:val="InstructionsTabelleText"/>
                <w:rFonts w:ascii="Times New Roman" w:hAnsi="Times New Roman"/>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0402</w:t>
            </w:r>
          </w:p>
        </w:tc>
        <w:tc>
          <w:tcPr>
            <w:tcW w:w="7605" w:type="dxa"/>
          </w:tcPr>
          <w:p w14:paraId="06929D2D"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SEC-IRBA</w:t>
            </w:r>
          </w:p>
          <w:p w14:paraId="41A48A7C" w14:textId="67C34C11" w:rsidR="00C55547" w:rsidRPr="004B0EC7" w:rsidRDefault="00C55547" w:rsidP="003073B2">
            <w:pPr>
              <w:rPr>
                <w:b/>
                <w:bCs/>
                <w:sz w:val="24"/>
                <w:u w:val="single"/>
                <w:rFonts w:ascii="Times New Roman" w:hAnsi="Times New Roman"/>
              </w:rPr>
            </w:pPr>
            <w:r>
              <w:rPr>
                <w:sz w:val="24"/>
                <w:rFonts w:ascii="Times New Roman" w:hAnsi="Times New Roman"/>
              </w:rPr>
              <w:t xml:space="preserve">Artikel 259 og 260 i forordning (EU) nr. 575/2013</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0403</w:t>
            </w:r>
          </w:p>
        </w:tc>
        <w:tc>
          <w:tcPr>
            <w:tcW w:w="7605" w:type="dxa"/>
          </w:tcPr>
          <w:p w14:paraId="6F8EF419"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SEC-SA</w:t>
            </w:r>
          </w:p>
          <w:p w14:paraId="5A374E14" w14:textId="4A4A259B" w:rsidR="00C55547" w:rsidRPr="004B0EC7" w:rsidRDefault="00C55547" w:rsidP="003073B2">
            <w:pPr>
              <w:autoSpaceDE w:val="0"/>
              <w:autoSpaceDN w:val="0"/>
              <w:adjustRightInd w:val="0"/>
              <w:jc w:val="left"/>
              <w:rPr>
                <w:b/>
                <w:bCs/>
                <w:sz w:val="24"/>
                <w:u w:val="single"/>
                <w:rFonts w:ascii="Times New Roman" w:hAnsi="Times New Roman"/>
              </w:rPr>
            </w:pPr>
            <w:r>
              <w:rPr>
                <w:sz w:val="24"/>
                <w:rFonts w:ascii="Times New Roman" w:hAnsi="Times New Roman"/>
              </w:rPr>
              <w:t xml:space="preserve">Artikel 261 og 262 i forordning (EU) nr. 575/2013</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0404</w:t>
            </w:r>
          </w:p>
        </w:tc>
        <w:tc>
          <w:tcPr>
            <w:tcW w:w="7605" w:type="dxa"/>
          </w:tcPr>
          <w:p w14:paraId="7AA18AA4"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SEC-ERBA</w:t>
            </w:r>
          </w:p>
          <w:p w14:paraId="2250A6DF" w14:textId="199187B3" w:rsidR="00C55547" w:rsidRPr="004B0EC7" w:rsidRDefault="00C55547" w:rsidP="003073B2">
            <w:pPr>
              <w:rPr>
                <w:b/>
                <w:bCs/>
                <w:sz w:val="24"/>
                <w:u w:val="single"/>
                <w:rFonts w:ascii="Times New Roman" w:hAnsi="Times New Roman"/>
              </w:rPr>
            </w:pPr>
            <w:r>
              <w:rPr>
                <w:sz w:val="24"/>
                <w:rFonts w:ascii="Times New Roman" w:hAnsi="Times New Roman"/>
              </w:rPr>
              <w:t xml:space="preserve">Artikel 263 og 264 i forordning (EU) nr. 575/2013</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0405</w:t>
            </w:r>
          </w:p>
        </w:tc>
        <w:tc>
          <w:tcPr>
            <w:tcW w:w="7605" w:type="dxa"/>
          </w:tcPr>
          <w:p w14:paraId="334AB028"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DEN INTERNE VURDERINGSMETODE</w:t>
            </w:r>
          </w:p>
          <w:p w14:paraId="5354C48C" w14:textId="67E47F49" w:rsidR="00C55547" w:rsidRPr="004B0EC7" w:rsidRDefault="00C55547" w:rsidP="007062FD">
            <w:pPr>
              <w:rPr>
                <w:bCs/>
                <w:sz w:val="24"/>
                <w:u w:val="single"/>
                <w:rFonts w:ascii="Times New Roman" w:hAnsi="Times New Roman"/>
              </w:rPr>
            </w:pPr>
            <w:r>
              <w:rPr>
                <w:sz w:val="24"/>
                <w:rFonts w:ascii="Times New Roman" w:hAnsi="Times New Roman"/>
              </w:rPr>
              <w:t xml:space="preserve">Artikel 254, artikel 265, og artikel 266, stk. 5, i forordning (EU) nr. 575/2013</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0900</w:t>
            </w:r>
          </w:p>
        </w:tc>
        <w:tc>
          <w:tcPr>
            <w:tcW w:w="7605" w:type="dxa"/>
          </w:tcPr>
          <w:p w14:paraId="1E2E9907" w14:textId="3152DD84" w:rsidR="0033476C" w:rsidRPr="004B0EC7" w:rsidRDefault="0033476C" w:rsidP="0033476C">
            <w:pPr>
              <w:spacing w:before="0" w:after="0"/>
              <w:jc w:val="left"/>
              <w:rPr>
                <w:b/>
                <w:sz w:val="24"/>
                <w:u w:val="single"/>
                <w:rFonts w:ascii="Times New Roman" w:hAnsi="Times New Roman"/>
              </w:rPr>
            </w:pPr>
            <w:r>
              <w:rPr>
                <w:b/>
                <w:sz w:val="24"/>
                <w:u w:val="single"/>
                <w:rFonts w:ascii="Times New Roman" w:hAnsi="Times New Roman"/>
              </w:rPr>
              <w:t xml:space="preserve">SÆRLIG BEHANDLING AF FORANSTILLEDE TRANCHER AF KVALIFICERENDE NPE-SECURITISERINGER</w:t>
            </w:r>
          </w:p>
          <w:p w14:paraId="17BE744C" w14:textId="0A44FB4D" w:rsidR="0033476C" w:rsidRPr="004B0EC7" w:rsidRDefault="0033476C" w:rsidP="001235ED">
            <w:pPr>
              <w:rPr>
                <w:b/>
                <w:bCs/>
                <w:sz w:val="24"/>
                <w:u w:val="single"/>
                <w:rFonts w:ascii="Times New Roman" w:hAnsi="Times New Roman"/>
              </w:rPr>
            </w:pPr>
            <w:r>
              <w:rPr>
                <w:sz w:val="24"/>
                <w:rFonts w:ascii="Times New Roman" w:hAnsi="Times New Roman"/>
              </w:rPr>
              <w:t xml:space="preserve">Artikel 269a, stk. 3, i forordning (EU) nr. 575/2013</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0406</w:t>
            </w:r>
          </w:p>
        </w:tc>
        <w:tc>
          <w:tcPr>
            <w:tcW w:w="7605" w:type="dxa"/>
          </w:tcPr>
          <w:p w14:paraId="25786344" w14:textId="4EFB7A5E"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ANDRE (RW = 1 250 %)</w:t>
            </w:r>
          </w:p>
          <w:p w14:paraId="1684F52F" w14:textId="43F3FE5E" w:rsidR="00C55547" w:rsidRPr="004B0EC7" w:rsidRDefault="00C55547" w:rsidP="003073B2">
            <w:pPr>
              <w:rPr>
                <w:b/>
                <w:bCs/>
                <w:sz w:val="24"/>
                <w:u w:val="single"/>
                <w:rFonts w:ascii="Times New Roman" w:hAnsi="Times New Roman"/>
              </w:rPr>
            </w:pPr>
            <w:r>
              <w:rPr>
                <w:sz w:val="24"/>
                <w:rFonts w:ascii="Times New Roman" w:hAnsi="Times New Roman"/>
              </w:rPr>
              <w:t xml:space="preserve">Artikel 254, stk. 7, i forordning (EU) nr. 575/2013</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0530-0540</w:t>
            </w:r>
          </w:p>
        </w:tc>
        <w:tc>
          <w:tcPr>
            <w:tcW w:w="7605" w:type="dxa"/>
          </w:tcPr>
          <w:p w14:paraId="595C29DB"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GENEREL VIRKNING (JUSTERING) SOM FØLGE AF OVERTRÆDELSE AF KAPITEL 2 I FORORDNING (EU) 2017/2402</w:t>
            </w:r>
          </w:p>
          <w:p w14:paraId="3FBEAE4C" w14:textId="027236BE" w:rsidR="00C55547" w:rsidRPr="004B0EC7" w:rsidRDefault="00C55547" w:rsidP="003073B2">
            <w:pPr>
              <w:rPr>
                <w:b/>
                <w:bCs/>
                <w:sz w:val="24"/>
                <w:u w:val="single"/>
                <w:rFonts w:ascii="Times New Roman" w:hAnsi="Times New Roman"/>
              </w:rPr>
            </w:pPr>
            <w:r>
              <w:rPr>
                <w:sz w:val="24"/>
                <w:rFonts w:ascii="Times New Roman" w:hAnsi="Times New Roman"/>
              </w:rPr>
              <w:t xml:space="preserve">Artikel 270a i forordning (EU) nr. 575/2013</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0570</w:t>
            </w:r>
          </w:p>
        </w:tc>
        <w:tc>
          <w:tcPr>
            <w:tcW w:w="7605" w:type="dxa"/>
          </w:tcPr>
          <w:p w14:paraId="4DCE07C4"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FØR LOFT</w:t>
            </w:r>
            <w:r>
              <w:rPr>
                <w:b/>
                <w:sz w:val="24"/>
                <w:u w:val="single"/>
                <w:rFonts w:ascii="Times New Roman" w:hAnsi="Times New Roman"/>
              </w:rPr>
              <w:t xml:space="preserve"> </w:t>
            </w:r>
          </w:p>
          <w:p w14:paraId="740CD739" w14:textId="19182A93" w:rsidR="00C55547" w:rsidRPr="004B0EC7" w:rsidRDefault="00C55547" w:rsidP="007062FD">
            <w:pPr>
              <w:rPr>
                <w:bCs/>
                <w:sz w:val="24"/>
                <w:rFonts w:ascii="Times New Roman" w:hAnsi="Times New Roman"/>
              </w:rPr>
            </w:pPr>
            <w:r>
              <w:rPr>
                <w:sz w:val="24"/>
                <w:rFonts w:ascii="Times New Roman" w:hAnsi="Times New Roman"/>
              </w:rPr>
              <w:t xml:space="preserve">Artikel 337 i forordning (EU) nr. 575/2013 uden indregning af skønnet i artikel 335 i nævnte forordning, der giver et institut mulighed for at begrænse vægten og nettopositionen til det højest mulige tab forbundet med misligholdelsesrisikoen.</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sz w:val="24"/>
                <w:rFonts w:ascii="Times New Roman" w:hAnsi="Times New Roman"/>
              </w:rPr>
            </w:pPr>
            <w:r>
              <w:rPr>
                <w:sz w:val="24"/>
                <w:rFonts w:ascii="Times New Roman" w:hAnsi="Times New Roman"/>
              </w:rPr>
              <w:t xml:space="preserve">0601</w:t>
            </w:r>
          </w:p>
        </w:tc>
        <w:tc>
          <w:tcPr>
            <w:tcW w:w="7605" w:type="dxa"/>
          </w:tcPr>
          <w:p w14:paraId="78FC9B76" w14:textId="4118CCB3"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EFTER LOFT / SAMLEDE KAPITALGRUNDLAGSKRAV FØR ANVENDELSE AF JUSTERINGSFAKTOR</w:t>
            </w:r>
          </w:p>
          <w:p w14:paraId="0DE4FAED" w14:textId="022355BB" w:rsidR="00C55547" w:rsidRPr="004B0EC7" w:rsidRDefault="00C55547" w:rsidP="007062FD">
            <w:pPr>
              <w:rPr>
                <w:bCs/>
                <w:sz w:val="24"/>
                <w:rFonts w:ascii="Times New Roman" w:hAnsi="Times New Roman"/>
              </w:rPr>
            </w:pPr>
            <w:r>
              <w:rPr>
                <w:sz w:val="24"/>
                <w:rFonts w:ascii="Times New Roman" w:hAnsi="Times New Roman"/>
              </w:rPr>
              <w:t xml:space="preserve">Artikel 337 i forordning (EU) nr. 575/2013 med indregning af skønnet i artikel 335 i nævnte forordning.</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Rækker</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537" w:type="dxa"/>
          </w:tcPr>
          <w:p w14:paraId="03F7346E" w14:textId="77777777" w:rsidR="00C55547" w:rsidRPr="004B0EC7" w:rsidRDefault="00C55547" w:rsidP="00E10B85">
            <w:pPr>
              <w:rPr>
                <w:sz w:val="24"/>
                <w:rFonts w:ascii="Times New Roman" w:hAnsi="Times New Roman"/>
              </w:rPr>
            </w:pPr>
            <w:r>
              <w:rPr>
                <w:rStyle w:val="InstructionsTabelleberschrift"/>
                <w:sz w:val="24"/>
                <w:rFonts w:ascii="Times New Roman" w:hAnsi="Times New Roman"/>
              </w:rPr>
              <w:t xml:space="preserve">SAMLEDE EKSPONERINGER</w:t>
            </w:r>
          </w:p>
          <w:p w14:paraId="3DA30B45" w14:textId="77777777" w:rsidR="00C55547" w:rsidRPr="004B0EC7" w:rsidRDefault="00C55547" w:rsidP="00C3548F">
            <w:pPr>
              <w:autoSpaceDE w:val="0"/>
              <w:autoSpaceDN w:val="0"/>
              <w:adjustRightInd w:val="0"/>
              <w:spacing w:before="0" w:after="0"/>
              <w:rPr>
                <w:sz w:val="24"/>
                <w:rFonts w:ascii="Times New Roman" w:hAnsi="Times New Roman"/>
              </w:rPr>
            </w:pPr>
            <w:r>
              <w:rPr>
                <w:rStyle w:val="InstructionsTabelleText"/>
                <w:sz w:val="24"/>
                <w:rFonts w:ascii="Times New Roman" w:hAnsi="Times New Roman"/>
              </w:rPr>
              <w:t xml:space="preserve">Det samlede beløb for udestående securitiseringer og resecuritiseringer (i handelsbeholdningen), som indberettes af det institut, der optræder som eksponeringsleverende institut eller investor eller organiserende institut.</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0040, 0070 og 0100</w:t>
            </w:r>
          </w:p>
        </w:tc>
        <w:tc>
          <w:tcPr>
            <w:tcW w:w="7537" w:type="dxa"/>
          </w:tcPr>
          <w:p w14:paraId="4F5DF6AF"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SECURITISERINGSPOSITIONER</w:t>
            </w:r>
          </w:p>
          <w:p w14:paraId="62CD89EA" w14:textId="30BF22B1" w:rsidR="00C55547" w:rsidRPr="004B0EC7" w:rsidRDefault="00532026"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 </w:t>
            </w:r>
            <w:r>
              <w:rPr>
                <w:sz w:val="24"/>
                <w:rFonts w:ascii="Times New Roman" w:hAnsi="Times New Roman"/>
              </w:rPr>
              <w:t xml:space="preserve">Artikel 4, stk. 1, nr. 62), i forordning (EU) nr. 575/2013</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0020, 0050, 0080 og 0110</w:t>
            </w:r>
          </w:p>
        </w:tc>
        <w:tc>
          <w:tcPr>
            <w:tcW w:w="7537" w:type="dxa"/>
          </w:tcPr>
          <w:p w14:paraId="3C62BCE7"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RESECURITISERINGSPOSITIONER</w:t>
            </w:r>
          </w:p>
          <w:p w14:paraId="32F5BAEB" w14:textId="2FA2B3C6" w:rsidR="00C55547" w:rsidRPr="004B0EC7" w:rsidRDefault="00D24331"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Artikel 4, stk. 1, nr. 64), i forordning (EU) nr. 575/2013</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0041, 0071 og 0101</w:t>
            </w:r>
          </w:p>
        </w:tc>
        <w:tc>
          <w:tcPr>
            <w:tcW w:w="7537" w:type="dxa"/>
          </w:tcPr>
          <w:p w14:paraId="17D8E88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HERAF: DER ER BERETTIGEDE TIL DIFFERENTIERET KAPITALBEHANDLING</w:t>
            </w:r>
          </w:p>
          <w:p w14:paraId="775DD0A5" w14:textId="73ABBACB" w:rsidR="00C55547" w:rsidRPr="004B0EC7" w:rsidRDefault="00C55547" w:rsidP="007062FD">
            <w:pPr>
              <w:rPr>
                <w:rStyle w:val="InstructionsTabelleberschrift"/>
                <w:sz w:val="24"/>
                <w:rFonts w:ascii="Times New Roman" w:hAnsi="Times New Roman"/>
              </w:rPr>
            </w:pPr>
            <w:r>
              <w:rPr>
                <w:sz w:val="24"/>
                <w:rFonts w:ascii="Times New Roman" w:hAnsi="Times New Roman"/>
              </w:rPr>
              <w:t xml:space="preserve">Det samlede beløb for securitiseringspositioner, som opfylder kriterierne i artikel 243 i forordning (EU) nr. 575/2013 og artikel 270 i nævnte forordning og derfor er berettigede til differentieret kapitalbehandling.</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0030-0050</w:t>
            </w:r>
          </w:p>
        </w:tc>
        <w:tc>
          <w:tcPr>
            <w:tcW w:w="7537" w:type="dxa"/>
          </w:tcPr>
          <w:p w14:paraId="29698529"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EKSPONERINGSLEVERENDE INSTITUT</w:t>
            </w:r>
          </w:p>
          <w:p w14:paraId="50264432" w14:textId="0FD773BF" w:rsidR="00C55547" w:rsidRPr="004B0EC7" w:rsidRDefault="00D24331"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Artikel 4, stk. 1, nr. 13), i forordning (EU) nr. 575/2013</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0060-0080</w:t>
            </w:r>
          </w:p>
        </w:tc>
        <w:tc>
          <w:tcPr>
            <w:tcW w:w="7537" w:type="dxa"/>
          </w:tcPr>
          <w:p w14:paraId="726E7C5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INVESTOR</w:t>
            </w:r>
          </w:p>
          <w:p w14:paraId="13A59676" w14:textId="77777777" w:rsidR="00C55547" w:rsidRPr="004B0EC7" w:rsidRDefault="00C55547"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Kreditinstitut, der besidder securitiseringspositioner i en securitiseringstransaktion, hvor det hverken er eksponeringsleverende institut, organiserende institut eller oprindelig långiver.</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0090-0110</w:t>
            </w:r>
          </w:p>
        </w:tc>
        <w:tc>
          <w:tcPr>
            <w:tcW w:w="7537" w:type="dxa"/>
          </w:tcPr>
          <w:p w14:paraId="1405E243"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ORGANISERENDE INSTITUT</w:t>
            </w:r>
          </w:p>
          <w:p w14:paraId="40C5E800" w14:textId="57801E6F" w:rsidR="000242CC" w:rsidRPr="004B0EC7" w:rsidRDefault="00D24331" w:rsidP="00E10B85">
            <w:pPr>
              <w:autoSpaceDE w:val="0"/>
              <w:autoSpaceDN w:val="0"/>
              <w:adjustRightInd w:val="0"/>
              <w:spacing w:before="0" w:after="0"/>
              <w:rPr>
                <w:rStyle w:val="InstructionsTabelleText"/>
                <w:sz w:val="24"/>
                <w:rFonts w:ascii="Times New Roman" w:hAnsi="Times New Roman"/>
              </w:rPr>
            </w:pPr>
            <w:r>
              <w:rPr>
                <w:sz w:val="24"/>
                <w:rFonts w:ascii="Times New Roman" w:hAnsi="Times New Roman"/>
              </w:rPr>
              <w:t xml:space="preserve">Artikel 4, stk. 1, nr. 14), i forordning (EU) nr. 575/2013</w:t>
            </w:r>
            <w:r>
              <w:rPr>
                <w:sz w:val="24"/>
                <w:rStyle w:val="InstructionsTabelleText"/>
                <w:rFonts w:ascii="Times New Roman" w:hAnsi="Times New Roman"/>
              </w:rPr>
              <w:t xml:space="preserve"> </w:t>
            </w:r>
          </w:p>
          <w:p w14:paraId="036222AB" w14:textId="77777777" w:rsidR="00C55547" w:rsidRPr="004B0EC7" w:rsidRDefault="00532026" w:rsidP="00E64BFE">
            <w:pPr>
              <w:autoSpaceDE w:val="0"/>
              <w:autoSpaceDN w:val="0"/>
              <w:adjustRightInd w:val="0"/>
              <w:spacing w:before="0" w:after="0"/>
              <w:rPr>
                <w:rStyle w:val="InstructionsTabelleText"/>
                <w:sz w:val="24"/>
                <w:rFonts w:ascii="Times New Roman" w:hAnsi="Times New Roman"/>
              </w:rPr>
            </w:pPr>
            <w:r>
              <w:rPr>
                <w:rStyle w:val="InstructionsTabelleText"/>
                <w:sz w:val="24"/>
                <w:rFonts w:ascii="Times New Roman" w:hAnsi="Times New Roman"/>
              </w:rPr>
              <w:t xml:space="preserve">Et organiserende institut, der også securitiserer sine egne aktiver, skal indsætte oplysninger om sine egne securitiserede aktiver i rækkerne for det eksponeringsleverende institut.</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sz w:val="24"/>
          <w:u w:val="none"/>
          <w:rFonts w:ascii="Times New Roman" w:hAnsi="Times New Roman"/>
        </w:rPr>
        <w:t xml:space="preserve">5.3.</w:t>
      </w:r>
      <w:r>
        <w:tab/>
      </w:r>
      <w:r>
        <w:rPr>
          <w:sz w:val="24"/>
          <w:rFonts w:ascii="Times New Roman" w:hAnsi="Times New Roman"/>
        </w:rPr>
        <w:t xml:space="preserve">C 20.01 – Markedsrisiko:</w:t>
      </w:r>
      <w:r>
        <w:rPr>
          <w:sz w:val="24"/>
          <w:rFonts w:ascii="Times New Roman" w:hAnsi="Times New Roman"/>
        </w:rPr>
        <w:t xml:space="preserve"> </w:t>
      </w:r>
      <w:r>
        <w:rPr>
          <w:sz w:val="24"/>
          <w:rFonts w:ascii="Times New Roman" w:hAnsi="Times New Roman"/>
        </w:rPr>
        <w:t xml:space="preserve">Specifik risiko for positioner tildelt korrelationshandelsporteføljen opgjort efter den forenklede standardmetode (MKR SSA CTP</w:t>
      </w:r>
      <w:bookmarkEnd w:id="61"/>
      <w:bookmarkEnd w:id="62"/>
      <w:bookmarkEnd w:id="63"/>
      <w:bookmarkEnd w:id="64"/>
      <w:r>
        <w:rPr>
          <w:sz w:val="24"/>
          <w:rFonts w:ascii="Times New Roman" w:hAnsi="Times New Roman"/>
        </w:rPr>
        <w:t xml:space="preserve">)</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sz w:val="24"/>
          <w:u w:val="none"/>
          <w:rFonts w:ascii="Times New Roman" w:hAnsi="Times New Roman"/>
        </w:rPr>
        <w:t xml:space="preserve">5.3.1.</w:t>
      </w:r>
      <w:r>
        <w:tab/>
      </w:r>
      <w:r>
        <w:rPr>
          <w:sz w:val="24"/>
          <w:rFonts w:ascii="Times New Roman" w:hAnsi="Times New Roman"/>
        </w:rPr>
        <w:t xml:space="preserve">Generelle bemærkninger</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fldChar w:fldCharType="begin" w:dirty="true"/>
      </w:r>
      <w:r>
        <w:instrText xml:space="preserve"> seq paragraphs </w:instrText>
      </w:r>
      <w:r>
        <w:fldChar w:fldCharType="separate"/>
      </w:r>
      <w:r>
        <w:t xml:space="preserve">165</w:t>
      </w:r>
      <w:r>
        <w:fldChar w:fldCharType="end"/>
      </w:r>
      <w:r>
        <w:t xml:space="preserve">.</w:t>
      </w:r>
      <w:r>
        <w:t xml:space="preserve"> </w:t>
      </w:r>
      <w:r>
        <w:t xml:space="preserve">I dette skema indberettes der oplysninger om positioner i korrelationshandelsporteføljen (CTP) (som omfatter securitiseringer, "nth to default"-kreditderivater og andre positioner i korrelationshandelsporteføljen, der er medtaget i henhold til artikel 338, stk. 3, i forordning (EU) nr. 575/2013) og de tilsvarende kapitalgrundlagskrav opgjort efter standardmetoden.</w:t>
      </w:r>
    </w:p>
    <w:p w14:paraId="7D9D9B10" w14:textId="72D4CBCA" w:rsidR="00C55547" w:rsidRPr="004B0EC7" w:rsidRDefault="008F3052" w:rsidP="00660845">
      <w:pPr>
        <w:pStyle w:val="InstructionsText2"/>
        <w:numPr>
          <w:ilvl w:val="0"/>
          <w:numId w:val="0"/>
        </w:numPr>
        <w:ind w:left="993"/>
      </w:pPr>
      <w:r>
        <w:fldChar w:fldCharType="begin" w:dirty="true"/>
      </w:r>
      <w:r>
        <w:instrText>seq paragraphs</w:instrText>
      </w:r>
      <w:r>
        <w:fldChar w:fldCharType="separate"/>
      </w:r>
      <w:r>
        <w:t xml:space="preserve">166</w:t>
      </w:r>
      <w:r>
        <w:fldChar w:fldCharType="end"/>
      </w:r>
      <w:r>
        <w:t xml:space="preserve">.</w:t>
      </w:r>
      <w:r>
        <w:tab/>
      </w:r>
      <w:r>
        <w:t xml:space="preserve"> </w:t>
      </w:r>
      <w:r>
        <w:t xml:space="preserve">MKR SSA CTP-skemaet præsenterer kun kapitalgrundlagskravet for den specifikke risiko ved positioner tildelt korrelationshandelsporteføljen i medfør af artikel 335 i forordning (EU) nr. 575/2013 sammenholdt med artikel 338, stk. 2 og 3, i nævnte forordning.</w:t>
      </w:r>
      <w:r>
        <w:t xml:space="preserve"> </w:t>
      </w:r>
      <w:r>
        <w:t xml:space="preserve">Hvis CTP-positioner i handelsbeholdningen sikres med kreditderivater, finder artikel 346 og 347 i forordning (EU) nr. 575/2013 anvendelse.</w:t>
      </w:r>
      <w:r>
        <w:t xml:space="preserve"> </w:t>
      </w:r>
      <w:r>
        <w:t xml:space="preserve">Der er kun ét skema for alle CPT-positioner i handelsbeholdningen, uanset hvilken metode institutter anvender til at fastlægge risikovægten for hver af positionerne i overensstemmelse med tredje del, afsnit II, kapitel 5, i forordning (EU) nr. 575/2013.</w:t>
      </w:r>
      <w:r>
        <w:t xml:space="preserve"> </w:t>
      </w:r>
      <w:r>
        <w:t xml:space="preserve">Indberetningen af kapitalgrundlagskravene for den generelle risiko i forbindelse med disse positioner foretages i MKR SSA TDI- eller MKR IM-skemaet.</w:t>
      </w:r>
    </w:p>
    <w:p w14:paraId="2252BE4F" w14:textId="6A0EE270" w:rsidR="00C55547" w:rsidRPr="004B0EC7" w:rsidRDefault="008F3052" w:rsidP="00660845">
      <w:pPr>
        <w:pStyle w:val="InstructionsText2"/>
        <w:numPr>
          <w:ilvl w:val="0"/>
          <w:numId w:val="0"/>
        </w:numPr>
        <w:ind w:left="993"/>
      </w:pPr>
      <w:r>
        <w:fldChar w:fldCharType="begin" w:dirty="true"/>
      </w:r>
      <w:r>
        <w:instrText>seq paragraphs</w:instrText>
      </w:r>
      <w:r>
        <w:fldChar w:fldCharType="separate"/>
      </w:r>
      <w:r>
        <w:t xml:space="preserve">167</w:t>
      </w:r>
      <w:r>
        <w:fldChar w:fldCharType="end"/>
      </w:r>
      <w:r>
        <w:t xml:space="preserve">.</w:t>
      </w:r>
      <w:r>
        <w:tab/>
      </w:r>
      <w:r>
        <w:t xml:space="preserve"> </w:t>
      </w:r>
      <w:r>
        <w:t xml:space="preserve">I skemaet er securitiseringspositioner, "nth to default"-kreditderivater og andre CTP-positioner adskilt.</w:t>
      </w:r>
      <w:r>
        <w:t xml:space="preserve"> </w:t>
      </w:r>
      <w:r>
        <w:t xml:space="preserve">Securitiseringspositioner indberettes altid i række 0030, 0060 eller 0090 (afhængigt af instituttets rolle i securitiseringen).</w:t>
      </w:r>
      <w:r>
        <w:t xml:space="preserve"> </w:t>
      </w:r>
      <w:r>
        <w:t xml:space="preserve">"Nth to default"-kreditderivater indberettes altid i række 0110.</w:t>
      </w:r>
      <w:r>
        <w:t xml:space="preserve"> </w:t>
      </w:r>
      <w:r>
        <w:t xml:space="preserve">De "andre CTP-positioner" er positioner, som hverken er securitiseringspositioner eller "nth to default"-kreditderivater (se artikel 338, stk. 3, i forordning (EU) nr. 575/2013), men de er (på grund af hensigten om sikring) udtrykkeligt kædet sammen med en af disse to positioner.</w:t>
      </w:r>
      <w:r>
        <w:t xml:space="preserve"> </w:t>
      </w:r>
    </w:p>
    <w:p w14:paraId="5B5B9C2A" w14:textId="21A69FAD" w:rsidR="00C55547" w:rsidRPr="004B0EC7" w:rsidRDefault="008F3052" w:rsidP="00660845">
      <w:pPr>
        <w:pStyle w:val="InstructionsText2"/>
        <w:numPr>
          <w:ilvl w:val="0"/>
          <w:numId w:val="0"/>
        </w:numPr>
        <w:ind w:left="993"/>
      </w:pPr>
      <w:r>
        <w:fldChar w:fldCharType="begin" w:dirty="true"/>
      </w:r>
      <w:r>
        <w:instrText>seq paragraphs</w:instrText>
      </w:r>
      <w:r>
        <w:fldChar w:fldCharType="separate"/>
      </w:r>
      <w:r>
        <w:t xml:space="preserve">168</w:t>
      </w:r>
      <w:r>
        <w:fldChar w:fldCharType="end"/>
      </w:r>
      <w:r>
        <w:t xml:space="preserve">.</w:t>
      </w:r>
      <w:r>
        <w:tab/>
      </w:r>
      <w:r>
        <w:t xml:space="preserve"> </w:t>
      </w:r>
      <w:r>
        <w:t xml:space="preserve">Positioner, som tillægges en risikovægt på 1 250 % kan alternativt fratrækkes den egentlige kernekapital (se artikel 244, stk. 1, litra b), artikel 245, stk. 1, litra b), og artikel 253 i forordning (EU) nr. 575/2013).</w:t>
      </w:r>
      <w:r>
        <w:t xml:space="preserve"> </w:t>
      </w:r>
      <w:r>
        <w:t xml:space="preserve">I så fald skal disse positioner indberettes i række 0460 i CA1.</w:t>
      </w:r>
    </w:p>
    <w:p w14:paraId="6482CB53" w14:textId="3E0BDD09"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81" w:name="_Toc151714494"/>
      <w:r>
        <w:rPr>
          <w:sz w:val="24"/>
          <w:u w:val="none"/>
          <w:rFonts w:ascii="Times New Roman" w:hAnsi="Times New Roman"/>
        </w:rPr>
        <w:t xml:space="preserve">5.3.2.</w:t>
      </w:r>
      <w:r>
        <w:tab/>
      </w:r>
      <w:r>
        <w:rPr>
          <w:sz w:val="24"/>
          <w:rFonts w:ascii="Times New Roman" w:hAnsi="Times New Roman"/>
        </w:rPr>
        <w:t xml:space="preserve">Instrukser vedrørende specifikke positioner</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Kolonner</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4" w:type="dxa"/>
          </w:tcPr>
          <w:p w14:paraId="2D41C55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ALLE POSITIONER (LANGE OG KORTE)</w:t>
            </w:r>
          </w:p>
          <w:p w14:paraId="4F3CF7CB" w14:textId="017BAB06" w:rsidR="005C14B0" w:rsidRPr="004B0EC7" w:rsidRDefault="00C55547" w:rsidP="00E10B85">
            <w:pPr>
              <w:rPr>
                <w:sz w:val="24"/>
                <w:rFonts w:ascii="Times New Roman" w:hAnsi="Times New Roman"/>
              </w:rPr>
            </w:pPr>
            <w:r>
              <w:rPr>
                <w:sz w:val="24"/>
                <w:rFonts w:ascii="Times New Roman" w:hAnsi="Times New Roman"/>
              </w:rPr>
              <w:t xml:space="preserve">Artikel 102 og artikel 105, stk. 1, i forordning (EU) nr. 575/2013 sammenholdt med artikel 338, stk. 2 og 3, i nævnte forordning (positioner tildelt korrelationshandelsporteføljen)</w:t>
            </w:r>
          </w:p>
          <w:p w14:paraId="70FB0860" w14:textId="005CBA75" w:rsidR="00C55547" w:rsidRPr="004B0EC7" w:rsidRDefault="00C55547" w:rsidP="0002267E">
            <w:pPr>
              <w:rPr>
                <w:sz w:val="24"/>
                <w:rFonts w:ascii="Times New Roman" w:hAnsi="Times New Roman"/>
              </w:rPr>
            </w:pPr>
            <w:r>
              <w:rPr>
                <w:sz w:val="24"/>
                <w:rFonts w:ascii="Times New Roman" w:hAnsi="Times New Roman"/>
              </w:rPr>
              <w:t xml:space="preserve">Se artikel 328, stk. 2, i forordning (EU) nr. 575/2013 for oplysninger om sondringen mellem lange og korte positioner, som også gælder for disse bruttopositioner.</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874" w:type="dxa"/>
          </w:tcPr>
          <w:p w14:paraId="7E31C35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 POSITIONER, DER FRATRÆKKES KAPITALGRUNDLAGET (LANGE OG KORTE)</w:t>
            </w:r>
          </w:p>
          <w:p w14:paraId="56207551" w14:textId="0069D39B" w:rsidR="00C55547" w:rsidRPr="004B0EC7" w:rsidRDefault="00C55547" w:rsidP="00E64BFE">
            <w:pPr>
              <w:rPr>
                <w:sz w:val="24"/>
                <w:rFonts w:ascii="Times New Roman" w:hAnsi="Times New Roman"/>
              </w:rPr>
            </w:pPr>
            <w:r>
              <w:rPr>
                <w:sz w:val="24"/>
                <w:rFonts w:ascii="Times New Roman" w:hAnsi="Times New Roman"/>
              </w:rPr>
              <w:t xml:space="preserve">Artikel 253 i forordning (EU) nr. 575/2013</w:t>
            </w:r>
            <w:r>
              <w:rPr>
                <w:sz w:val="24"/>
                <w:rFonts w:ascii="Times New Roman" w:hAnsi="Times New Roman"/>
              </w:rPr>
              <w:t xml:space="preserve">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0050-0060</w:t>
            </w:r>
          </w:p>
        </w:tc>
        <w:tc>
          <w:tcPr>
            <w:tcW w:w="7874" w:type="dxa"/>
          </w:tcPr>
          <w:p w14:paraId="6226B36A"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NETTOPOSITIONER (LANGE OG KORTE)</w:t>
            </w:r>
          </w:p>
          <w:p w14:paraId="01BDDE40" w14:textId="76E789A7" w:rsidR="005C14B0" w:rsidRPr="004B0EC7" w:rsidRDefault="00C55547" w:rsidP="00E10B85">
            <w:pPr>
              <w:rPr>
                <w:sz w:val="24"/>
                <w:rFonts w:ascii="Times New Roman" w:hAnsi="Times New Roman"/>
              </w:rPr>
            </w:pPr>
            <w:r>
              <w:rPr>
                <w:sz w:val="24"/>
                <w:rFonts w:ascii="Times New Roman" w:hAnsi="Times New Roman"/>
              </w:rPr>
              <w:t xml:space="preserve">Artikel 327, 328, 329 og 334 i forordning (EU) nr. 575/2013</w:t>
            </w:r>
            <w:r>
              <w:rPr>
                <w:sz w:val="24"/>
                <w:rFonts w:ascii="Times New Roman" w:hAnsi="Times New Roman"/>
              </w:rPr>
              <w:t xml:space="preserve"> </w:t>
            </w:r>
          </w:p>
          <w:p w14:paraId="6C03F093" w14:textId="2B98C3C7" w:rsidR="00C55547" w:rsidRPr="004B0EC7" w:rsidRDefault="00C55547" w:rsidP="00E64BFE">
            <w:pPr>
              <w:rPr>
                <w:sz w:val="24"/>
                <w:rFonts w:ascii="Times New Roman" w:hAnsi="Times New Roman"/>
              </w:rPr>
            </w:pPr>
            <w:r>
              <w:rPr>
                <w:sz w:val="24"/>
                <w:rFonts w:ascii="Times New Roman" w:hAnsi="Times New Roman"/>
              </w:rPr>
              <w:t xml:space="preserve">Se artikel 328, stk. 2, i forordning (EU) nr. 575/2013 for oplysninger om sondringen mellem lange og korte positioner.</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sz w:val="24"/>
                <w:rFonts w:ascii="Times New Roman" w:hAnsi="Times New Roman"/>
              </w:rPr>
            </w:pPr>
            <w:r>
              <w:rPr>
                <w:sz w:val="24"/>
                <w:rFonts w:ascii="Times New Roman" w:hAnsi="Times New Roman"/>
              </w:rPr>
              <w:t xml:space="preserve">0071-0097</w:t>
            </w:r>
          </w:p>
        </w:tc>
        <w:tc>
          <w:tcPr>
            <w:tcW w:w="7874" w:type="dxa"/>
          </w:tcPr>
          <w:p w14:paraId="247CF712"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OPDELING AF NETTOPOSITIONER EFTER RISIKOVÆGT</w:t>
            </w:r>
          </w:p>
          <w:p w14:paraId="691F4414" w14:textId="030DE019" w:rsidR="00C55547" w:rsidRPr="004B0EC7" w:rsidRDefault="00133396" w:rsidP="001F2389">
            <w:pPr>
              <w:rPr>
                <w:sz w:val="24"/>
                <w:rFonts w:ascii="Times New Roman" w:hAnsi="Times New Roman"/>
              </w:rPr>
            </w:pPr>
            <w:r>
              <w:rPr>
                <w:sz w:val="24"/>
                <w:rFonts w:ascii="Times New Roman" w:hAnsi="Times New Roman"/>
              </w:rPr>
              <w:t xml:space="preserve">Artikel 259-262, artikel 263, tabel 1 og 2, artikel 264, tabel 3 og 4, og artikel 266 i forordning (EU) nr. 575/2013</w:t>
            </w:r>
          </w:p>
        </w:tc>
      </w:tr>
      <w:tr w:rsidR="00C55547" w:rsidRPr="004B0EC7" w14:paraId="495D2FD0" w14:textId="77777777" w:rsidTr="00E10B85">
        <w:tc>
          <w:tcPr>
            <w:tcW w:w="1016" w:type="dxa"/>
          </w:tcPr>
          <w:p w14:paraId="295B01D9" w14:textId="77777777" w:rsidR="00C55547" w:rsidRPr="004B0EC7" w:rsidRDefault="002F79EA" w:rsidP="00921700">
            <w:pPr>
              <w:rPr>
                <w:sz w:val="24"/>
                <w:rFonts w:ascii="Times New Roman" w:hAnsi="Times New Roman"/>
              </w:rPr>
            </w:pPr>
            <w:r>
              <w:rPr>
                <w:sz w:val="24"/>
                <w:rFonts w:ascii="Times New Roman" w:hAnsi="Times New Roman"/>
              </w:rPr>
              <w:t xml:space="preserve">0402-0406</w:t>
            </w:r>
          </w:p>
        </w:tc>
        <w:tc>
          <w:tcPr>
            <w:tcW w:w="7874" w:type="dxa"/>
          </w:tcPr>
          <w:p w14:paraId="23629FA6" w14:textId="77777777" w:rsidR="00C55547" w:rsidRPr="004B0EC7" w:rsidRDefault="00543964"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OPDELING AF NETTOPOSITIONER EFTER METODE</w:t>
            </w:r>
          </w:p>
          <w:p w14:paraId="19937787" w14:textId="465ADE79" w:rsidR="00C55547" w:rsidRPr="004B0EC7" w:rsidRDefault="00C55547" w:rsidP="0002267E">
            <w:pPr>
              <w:autoSpaceDE w:val="0"/>
              <w:autoSpaceDN w:val="0"/>
              <w:adjustRightInd w:val="0"/>
              <w:spacing w:before="0" w:after="0"/>
              <w:rPr>
                <w:rStyle w:val="InstructionsTabelleberschrift"/>
                <w:sz w:val="24"/>
                <w:rFonts w:ascii="Times New Roman" w:hAnsi="Times New Roman"/>
              </w:rPr>
            </w:pPr>
            <w:r>
              <w:rPr>
                <w:sz w:val="24"/>
                <w:rFonts w:ascii="Times New Roman" w:hAnsi="Times New Roman"/>
              </w:rPr>
              <w:t xml:space="preserve">Artikel 254 i forordning (EU) nr. 575/2013</w:t>
            </w:r>
            <w:r>
              <w:rPr>
                <w:sz w:val="24"/>
                <w:rStyle w:val="InstructionsTabelleText"/>
                <w:rFonts w:ascii="Times New Roman" w:hAnsi="Times New Roman"/>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sz w:val="24"/>
                <w:rFonts w:ascii="Times New Roman" w:hAnsi="Times New Roman"/>
              </w:rPr>
            </w:pPr>
            <w:r>
              <w:rPr>
                <w:sz w:val="24"/>
                <w:rFonts w:ascii="Times New Roman" w:hAnsi="Times New Roman"/>
              </w:rPr>
              <w:t xml:space="preserve">0402</w:t>
            </w:r>
          </w:p>
        </w:tc>
        <w:tc>
          <w:tcPr>
            <w:tcW w:w="7874" w:type="dxa"/>
          </w:tcPr>
          <w:p w14:paraId="79F7161D"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SEC-IRBA</w:t>
            </w:r>
          </w:p>
          <w:p w14:paraId="1718443C" w14:textId="27159510"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Artikel 259 og 260 i forordning (EU) nr. 575/2013</w:t>
            </w:r>
          </w:p>
        </w:tc>
      </w:tr>
      <w:tr w:rsidR="00C55547" w:rsidRPr="004B0EC7" w14:paraId="35656008" w14:textId="77777777" w:rsidTr="00E10B85">
        <w:tc>
          <w:tcPr>
            <w:tcW w:w="1016" w:type="dxa"/>
          </w:tcPr>
          <w:p w14:paraId="720D0546" w14:textId="77777777" w:rsidR="00C55547" w:rsidRPr="004B0EC7" w:rsidRDefault="002F79EA" w:rsidP="00921700">
            <w:pPr>
              <w:rPr>
                <w:sz w:val="24"/>
                <w:rFonts w:ascii="Times New Roman" w:hAnsi="Times New Roman"/>
              </w:rPr>
            </w:pPr>
            <w:r>
              <w:rPr>
                <w:sz w:val="24"/>
                <w:rFonts w:ascii="Times New Roman" w:hAnsi="Times New Roman"/>
              </w:rPr>
              <w:t xml:space="preserve">0403</w:t>
            </w:r>
          </w:p>
        </w:tc>
        <w:tc>
          <w:tcPr>
            <w:tcW w:w="7874" w:type="dxa"/>
          </w:tcPr>
          <w:p w14:paraId="78903335"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SEC-SA</w:t>
            </w:r>
          </w:p>
          <w:p w14:paraId="4F095DEE" w14:textId="02044DC6"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Artikel 261 og 262 i forordning (EU) nr. 575/2013</w:t>
            </w:r>
          </w:p>
        </w:tc>
      </w:tr>
      <w:tr w:rsidR="00C55547" w:rsidRPr="004B0EC7" w14:paraId="7B54B7CF" w14:textId="77777777" w:rsidTr="00E10B85">
        <w:tc>
          <w:tcPr>
            <w:tcW w:w="1016" w:type="dxa"/>
          </w:tcPr>
          <w:p w14:paraId="0D21F451" w14:textId="77777777" w:rsidR="00C55547" w:rsidRPr="004B0EC7" w:rsidRDefault="002F79EA" w:rsidP="00921700">
            <w:pPr>
              <w:rPr>
                <w:sz w:val="24"/>
                <w:rFonts w:ascii="Times New Roman" w:hAnsi="Times New Roman"/>
              </w:rPr>
            </w:pPr>
            <w:r>
              <w:rPr>
                <w:sz w:val="24"/>
                <w:rFonts w:ascii="Times New Roman" w:hAnsi="Times New Roman"/>
              </w:rPr>
              <w:t xml:space="preserve">0404</w:t>
            </w:r>
          </w:p>
        </w:tc>
        <w:tc>
          <w:tcPr>
            <w:tcW w:w="7874" w:type="dxa"/>
          </w:tcPr>
          <w:p w14:paraId="6AA67FFF"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SEC-ERBA</w:t>
            </w:r>
          </w:p>
          <w:p w14:paraId="108938CD" w14:textId="7A2858ED"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Artikel 263 og 264 i forordning (EU) nr. 575/2013</w:t>
            </w:r>
          </w:p>
        </w:tc>
      </w:tr>
      <w:tr w:rsidR="00C55547" w:rsidRPr="004B0EC7" w14:paraId="7979A32D" w14:textId="77777777" w:rsidTr="00E10B85">
        <w:tc>
          <w:tcPr>
            <w:tcW w:w="1016" w:type="dxa"/>
          </w:tcPr>
          <w:p w14:paraId="7C1C67E6" w14:textId="77777777" w:rsidR="00C55547" w:rsidRPr="004B0EC7" w:rsidRDefault="002F79EA" w:rsidP="00921700">
            <w:pPr>
              <w:rPr>
                <w:sz w:val="24"/>
                <w:rFonts w:ascii="Times New Roman" w:hAnsi="Times New Roman"/>
              </w:rPr>
            </w:pPr>
            <w:r>
              <w:rPr>
                <w:sz w:val="24"/>
                <w:rFonts w:ascii="Times New Roman" w:hAnsi="Times New Roman"/>
              </w:rPr>
              <w:t xml:space="preserve">0405</w:t>
            </w:r>
          </w:p>
        </w:tc>
        <w:tc>
          <w:tcPr>
            <w:tcW w:w="7874" w:type="dxa"/>
          </w:tcPr>
          <w:p w14:paraId="68CACB61"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DEN INTERNE VURDERINGSMETODE</w:t>
            </w:r>
          </w:p>
          <w:p w14:paraId="46E92693" w14:textId="78E87E8C"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Artikel 254 og 265 og artikel 266, stk. 5, i forordning (EU) nr. 575/2013</w:t>
            </w:r>
          </w:p>
        </w:tc>
      </w:tr>
      <w:tr w:rsidR="00A97C62" w:rsidRPr="004B0EC7" w14:paraId="412C0D2A" w14:textId="77777777" w:rsidTr="00E10B85">
        <w:tc>
          <w:tcPr>
            <w:tcW w:w="1016" w:type="dxa"/>
          </w:tcPr>
          <w:p w14:paraId="184EAC6C" w14:textId="26696219" w:rsidR="00A97C62" w:rsidRPr="004B0EC7" w:rsidRDefault="00A97C62" w:rsidP="00A97C62">
            <w:pPr>
              <w:rPr>
                <w:sz w:val="24"/>
                <w:rFonts w:ascii="Times New Roman" w:hAnsi="Times New Roman"/>
              </w:rPr>
            </w:pPr>
            <w:r>
              <w:rPr>
                <w:sz w:val="24"/>
                <w:rFonts w:ascii="Times New Roman" w:hAnsi="Times New Roman"/>
              </w:rPr>
              <w:t xml:space="preserve">0900</w:t>
            </w:r>
          </w:p>
        </w:tc>
        <w:tc>
          <w:tcPr>
            <w:tcW w:w="7874" w:type="dxa"/>
          </w:tcPr>
          <w:p w14:paraId="33E51780" w14:textId="77777777" w:rsidR="00A97C62" w:rsidRPr="004B0EC7" w:rsidRDefault="00A97C62" w:rsidP="00A97C62">
            <w:pPr>
              <w:spacing w:before="0" w:after="0"/>
              <w:jc w:val="left"/>
              <w:rPr>
                <w:b/>
                <w:sz w:val="24"/>
                <w:u w:val="single"/>
                <w:rFonts w:ascii="Times New Roman" w:hAnsi="Times New Roman"/>
              </w:rPr>
            </w:pPr>
            <w:r>
              <w:rPr>
                <w:b/>
                <w:sz w:val="24"/>
                <w:u w:val="single"/>
                <w:rFonts w:ascii="Times New Roman" w:hAnsi="Times New Roman"/>
              </w:rPr>
              <w:t xml:space="preserve">SÆRLIG BEHANDLING AF FORANSTILLEDE TRANCHER AF KVALIFICERENDE NPE-SECURITISERINGER</w:t>
            </w:r>
          </w:p>
          <w:p w14:paraId="1D397AE3" w14:textId="76C348BD" w:rsidR="00A97C62" w:rsidRPr="004B0EC7" w:rsidRDefault="00A97C62" w:rsidP="001235ED">
            <w:pPr>
              <w:autoSpaceDE w:val="0"/>
              <w:autoSpaceDN w:val="0"/>
              <w:adjustRightInd w:val="0"/>
              <w:jc w:val="left"/>
              <w:rPr>
                <w:b/>
                <w:bCs/>
                <w:sz w:val="24"/>
                <w:u w:val="single"/>
                <w:rFonts w:ascii="Times New Roman" w:hAnsi="Times New Roman"/>
              </w:rPr>
            </w:pPr>
            <w:r>
              <w:rPr>
                <w:sz w:val="24"/>
                <w:rFonts w:ascii="Times New Roman" w:hAnsi="Times New Roman"/>
              </w:rPr>
              <w:t xml:space="preserve">Artikel 269a, stk. 3, i forordning (EU) nr. 575/2013</w:t>
            </w:r>
          </w:p>
        </w:tc>
      </w:tr>
      <w:tr w:rsidR="00C55547" w:rsidRPr="004B0EC7" w14:paraId="5C0D49CC" w14:textId="77777777" w:rsidTr="00E10B85">
        <w:tc>
          <w:tcPr>
            <w:tcW w:w="1016" w:type="dxa"/>
          </w:tcPr>
          <w:p w14:paraId="4A75E404" w14:textId="77777777" w:rsidR="00C55547" w:rsidRPr="004B0EC7" w:rsidRDefault="002F79EA" w:rsidP="00921700">
            <w:pPr>
              <w:rPr>
                <w:sz w:val="24"/>
                <w:rFonts w:ascii="Times New Roman" w:hAnsi="Times New Roman"/>
              </w:rPr>
            </w:pPr>
            <w:r>
              <w:rPr>
                <w:sz w:val="24"/>
                <w:rFonts w:ascii="Times New Roman" w:hAnsi="Times New Roman"/>
              </w:rPr>
              <w:t xml:space="preserve">0406</w:t>
            </w:r>
          </w:p>
        </w:tc>
        <w:tc>
          <w:tcPr>
            <w:tcW w:w="7874" w:type="dxa"/>
          </w:tcPr>
          <w:p w14:paraId="27B9523C" w14:textId="26593451"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ANDRE (RW = 1 250 %)</w:t>
            </w:r>
          </w:p>
          <w:p w14:paraId="0B94870A" w14:textId="0A4BBAC5"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Artikel 254, stk. 7, i forordning (EU) nr. 575/2013</w:t>
            </w:r>
          </w:p>
        </w:tc>
      </w:tr>
      <w:tr w:rsidR="00C55547" w:rsidRPr="004B0EC7" w14:paraId="16A48520" w14:textId="77777777" w:rsidTr="00E10B85">
        <w:tc>
          <w:tcPr>
            <w:tcW w:w="1016" w:type="dxa"/>
          </w:tcPr>
          <w:p w14:paraId="04D4F5AC" w14:textId="77777777" w:rsidR="00C55547" w:rsidRPr="004B0EC7" w:rsidRDefault="002F79EA" w:rsidP="0002267E">
            <w:pPr>
              <w:rPr>
                <w:sz w:val="24"/>
                <w:rFonts w:ascii="Times New Roman" w:hAnsi="Times New Roman"/>
              </w:rPr>
            </w:pPr>
            <w:r>
              <w:rPr>
                <w:sz w:val="24"/>
                <w:rFonts w:ascii="Times New Roman" w:hAnsi="Times New Roman"/>
              </w:rPr>
              <w:t xml:space="preserve">0410-0420</w:t>
            </w:r>
          </w:p>
        </w:tc>
        <w:tc>
          <w:tcPr>
            <w:tcW w:w="7874" w:type="dxa"/>
          </w:tcPr>
          <w:p w14:paraId="78E183CC"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FØR LOFT — VÆGTEDE LANGE/KORTE NETTOPOSITIONER</w:t>
            </w:r>
          </w:p>
          <w:p w14:paraId="7E8A31C6" w14:textId="04B0137F" w:rsidR="00C55547" w:rsidRPr="004B0EC7" w:rsidRDefault="00C55547" w:rsidP="007062FD">
            <w:pPr>
              <w:rPr>
                <w:sz w:val="24"/>
                <w:rFonts w:ascii="Times New Roman" w:hAnsi="Times New Roman"/>
              </w:rPr>
            </w:pPr>
            <w:r>
              <w:rPr>
                <w:sz w:val="24"/>
                <w:rFonts w:ascii="Times New Roman" w:hAnsi="Times New Roman"/>
              </w:rPr>
              <w:t xml:space="preserve">Artikel 338 i forordning (EU) nr. 575/2013 uden indregning af skønnet i artikel 335 i nævnte forordning</w:t>
            </w:r>
            <w:r>
              <w:rPr>
                <w:sz w:val="24"/>
                <w:rFonts w:ascii="Times New Roman" w:hAnsi="Times New Roman"/>
              </w:rPr>
              <w:t xml:space="preserve"> </w:t>
            </w:r>
          </w:p>
        </w:tc>
      </w:tr>
      <w:tr w:rsidR="00C55547" w:rsidRPr="004B0EC7" w14:paraId="566ACCB3" w14:textId="77777777" w:rsidTr="00E10B85">
        <w:tc>
          <w:tcPr>
            <w:tcW w:w="1016" w:type="dxa"/>
          </w:tcPr>
          <w:p w14:paraId="4093CA68" w14:textId="77777777" w:rsidR="00C55547" w:rsidRPr="004B0EC7" w:rsidRDefault="002F79EA" w:rsidP="0002267E">
            <w:pPr>
              <w:rPr>
                <w:sz w:val="24"/>
                <w:rFonts w:ascii="Times New Roman" w:hAnsi="Times New Roman"/>
              </w:rPr>
            </w:pPr>
            <w:r>
              <w:rPr>
                <w:sz w:val="24"/>
                <w:rFonts w:ascii="Times New Roman" w:hAnsi="Times New Roman"/>
              </w:rPr>
              <w:t xml:space="preserve">0430-0440</w:t>
            </w:r>
          </w:p>
        </w:tc>
        <w:tc>
          <w:tcPr>
            <w:tcW w:w="7874" w:type="dxa"/>
          </w:tcPr>
          <w:p w14:paraId="00C8D0F3"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EFTER LOFT — VÆGTEDE LANGE/KORTE NETTOPOSITIONER</w:t>
            </w:r>
          </w:p>
          <w:p w14:paraId="3304B399" w14:textId="1538540C" w:rsidR="00C55547" w:rsidRPr="004B0EC7" w:rsidRDefault="00C55547" w:rsidP="007062FD">
            <w:pPr>
              <w:rPr>
                <w:sz w:val="24"/>
                <w:rFonts w:ascii="Times New Roman" w:hAnsi="Times New Roman"/>
              </w:rPr>
            </w:pPr>
            <w:r>
              <w:rPr>
                <w:sz w:val="24"/>
                <w:rFonts w:ascii="Times New Roman" w:hAnsi="Times New Roman"/>
              </w:rPr>
              <w:t xml:space="preserve">Artikel 338 i forordning (EU) nr. 575/2013 med indregning af skønnet i artikel 335 i nævnte forordning</w:t>
            </w:r>
            <w:r>
              <w:rPr>
                <w:sz w:val="24"/>
                <w:rFonts w:ascii="Times New Roman" w:hAnsi="Times New Roman"/>
              </w:rPr>
              <w:t xml:space="preserve"> </w:t>
            </w:r>
          </w:p>
        </w:tc>
      </w:tr>
      <w:tr w:rsidR="00C55547" w:rsidRPr="004B0EC7" w14:paraId="23063B74" w14:textId="77777777" w:rsidTr="00E10B85">
        <w:tc>
          <w:tcPr>
            <w:tcW w:w="1016" w:type="dxa"/>
          </w:tcPr>
          <w:p w14:paraId="5A3BC562" w14:textId="77777777" w:rsidR="00C55547" w:rsidRPr="004B0EC7" w:rsidRDefault="002F79EA" w:rsidP="0002267E">
            <w:pPr>
              <w:rPr>
                <w:sz w:val="24"/>
                <w:rFonts w:ascii="Times New Roman" w:hAnsi="Times New Roman"/>
              </w:rPr>
            </w:pPr>
            <w:r>
              <w:rPr>
                <w:sz w:val="24"/>
                <w:rFonts w:ascii="Times New Roman" w:hAnsi="Times New Roman"/>
              </w:rPr>
              <w:t xml:space="preserve">0450</w:t>
            </w:r>
          </w:p>
        </w:tc>
        <w:tc>
          <w:tcPr>
            <w:tcW w:w="7874" w:type="dxa"/>
          </w:tcPr>
          <w:p w14:paraId="4210145F" w14:textId="7D6EC5B6"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SAMLEDE KAPITALGRUNDLAGSKRAV FØR ANVENDELSE AF JUSTERINGSFAKTOR</w:t>
            </w:r>
          </w:p>
          <w:p w14:paraId="7DEA5D32" w14:textId="77777777" w:rsidR="00C55547" w:rsidRPr="004B0EC7" w:rsidRDefault="00C55547" w:rsidP="00E10B85">
            <w:pPr>
              <w:rPr>
                <w:sz w:val="24"/>
                <w:rFonts w:ascii="Times New Roman" w:hAnsi="Times New Roman"/>
              </w:rPr>
            </w:pPr>
            <w:r>
              <w:rPr>
                <w:sz w:val="24"/>
                <w:rFonts w:ascii="Times New Roman" w:hAnsi="Times New Roman"/>
              </w:rPr>
              <w:t xml:space="preserve">Kapitalgrundlagskravet bestemmes som det største af i) kapitalkravet for specifik risiko, der finder anvendelse på kun de lange nettopositioner (kolonne 0430), eller ii) kapitalkravet for specifik risiko, der finder anvendelse på kun de korte nettopositioner (kolonne 0440).</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Rækker</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8204" w:type="dxa"/>
          </w:tcPr>
          <w:p w14:paraId="3B5F07DE"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SAMLEDE EKSPONERINGER</w:t>
            </w:r>
          </w:p>
          <w:p w14:paraId="47BDA358" w14:textId="77777777" w:rsidR="00C55547" w:rsidRPr="004B0EC7" w:rsidRDefault="00C55547" w:rsidP="00E10B85">
            <w:pPr>
              <w:rPr>
                <w:sz w:val="24"/>
                <w:rFonts w:ascii="Times New Roman" w:hAnsi="Times New Roman"/>
              </w:rPr>
            </w:pPr>
            <w:r>
              <w:rPr>
                <w:sz w:val="24"/>
                <w:rFonts w:ascii="Times New Roman" w:hAnsi="Times New Roman"/>
              </w:rPr>
              <w:t xml:space="preserve">Det samlede beløb af udestående positioner (i korrelationshandelsporteføljen), som indberettes af det institut, der optræder som eksponeringsleverende institut og/eller investor og/eller organiserende institut.</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0020-0040</w:t>
            </w:r>
          </w:p>
        </w:tc>
        <w:tc>
          <w:tcPr>
            <w:tcW w:w="8204" w:type="dxa"/>
          </w:tcPr>
          <w:p w14:paraId="68E0826A"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EKSPONERINGSLEVERENDE INSTITUT</w:t>
            </w:r>
          </w:p>
          <w:p w14:paraId="07F7FC7F" w14:textId="691C5D11" w:rsidR="00C55547" w:rsidRPr="004B0EC7" w:rsidRDefault="00C55547" w:rsidP="001F2389">
            <w:pPr>
              <w:rPr>
                <w:sz w:val="24"/>
                <w:rFonts w:ascii="Times New Roman" w:hAnsi="Times New Roman"/>
              </w:rPr>
            </w:pPr>
            <w:r>
              <w:rPr>
                <w:sz w:val="24"/>
                <w:rFonts w:ascii="Times New Roman" w:hAnsi="Times New Roman"/>
              </w:rPr>
              <w:t xml:space="preserve">Artikel 4, stk. 1, nr. 13), i forordning (EU) nr. 575/2013</w:t>
            </w:r>
            <w:r>
              <w:rPr>
                <w:sz w:val="24"/>
                <w:rFonts w:ascii="Times New Roman" w:hAnsi="Times New Roman"/>
              </w:rPr>
              <w:t xml:space="preserve">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0050-0070</w:t>
            </w:r>
          </w:p>
        </w:tc>
        <w:tc>
          <w:tcPr>
            <w:tcW w:w="8204" w:type="dxa"/>
          </w:tcPr>
          <w:p w14:paraId="7C4743F6"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INVESTOR</w:t>
            </w:r>
          </w:p>
          <w:p w14:paraId="5507389D" w14:textId="77777777" w:rsidR="00C55547" w:rsidRPr="004B0EC7" w:rsidRDefault="00C55547">
            <w:pPr>
              <w:rPr>
                <w:sz w:val="24"/>
                <w:rFonts w:ascii="Times New Roman" w:hAnsi="Times New Roman"/>
              </w:rPr>
            </w:pPr>
            <w:r>
              <w:rPr>
                <w:sz w:val="24"/>
                <w:rFonts w:ascii="Times New Roman" w:hAnsi="Times New Roman"/>
              </w:rPr>
              <w:t xml:space="preserve">Kreditinstitut, der besidder securitiseringspositioner i en securitiseringstransaktion, hvor det hverken er eksponeringsleverende institut, organiserende institut eller oprindelig långiver</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0080-0100</w:t>
            </w:r>
          </w:p>
        </w:tc>
        <w:tc>
          <w:tcPr>
            <w:tcW w:w="8204" w:type="dxa"/>
          </w:tcPr>
          <w:p w14:paraId="6D18A74A"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ORGANISERENDE INSTITUT</w:t>
            </w:r>
          </w:p>
          <w:p w14:paraId="65D6B605" w14:textId="002B3FBA" w:rsidR="005C14B0" w:rsidRPr="004B0EC7" w:rsidRDefault="00E64BFE" w:rsidP="001E0C80">
            <w:pPr>
              <w:rPr>
                <w:sz w:val="24"/>
                <w:rFonts w:ascii="Times New Roman" w:hAnsi="Times New Roman"/>
              </w:rPr>
            </w:pPr>
            <w:r>
              <w:rPr>
                <w:sz w:val="24"/>
                <w:rFonts w:ascii="Times New Roman" w:hAnsi="Times New Roman"/>
              </w:rPr>
              <w:t xml:space="preserve"> </w:t>
            </w:r>
            <w:r>
              <w:rPr>
                <w:sz w:val="24"/>
                <w:rFonts w:ascii="Times New Roman" w:hAnsi="Times New Roman"/>
              </w:rPr>
              <w:t xml:space="preserve">Artikel 4, stk. 1, nr. 14), i forordning (EU) nr. 575/2013</w:t>
            </w:r>
            <w:r>
              <w:rPr>
                <w:sz w:val="24"/>
                <w:rFonts w:ascii="Times New Roman" w:hAnsi="Times New Roman"/>
              </w:rPr>
              <w:t xml:space="preserve"> </w:t>
            </w:r>
          </w:p>
          <w:p w14:paraId="7911CCA2" w14:textId="77777777" w:rsidR="00C55547" w:rsidRPr="004B0EC7" w:rsidRDefault="005F3BBE" w:rsidP="005F3BBE">
            <w:pPr>
              <w:rPr>
                <w:sz w:val="24"/>
                <w:rFonts w:ascii="Times New Roman" w:hAnsi="Times New Roman"/>
              </w:rPr>
            </w:pPr>
            <w:r>
              <w:rPr>
                <w:sz w:val="24"/>
                <w:rFonts w:ascii="Times New Roman" w:hAnsi="Times New Roman"/>
              </w:rPr>
              <w:t xml:space="preserve">Et organiserende institut, der også securitiserer sine egne aktiver, skal indsætte oplysninger om sine egne securitiserede aktiver i rækkerne for det eksponeringsleverende institut.</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 0060 og 0090</w:t>
            </w:r>
          </w:p>
        </w:tc>
        <w:tc>
          <w:tcPr>
            <w:tcW w:w="8204" w:type="dxa"/>
          </w:tcPr>
          <w:p w14:paraId="65F68A65"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SECURITISERINGSPOSITIONER</w:t>
            </w:r>
          </w:p>
          <w:p w14:paraId="3E2839F4" w14:textId="4835C00E" w:rsidR="00C55547" w:rsidRPr="004B0EC7" w:rsidRDefault="00C55547" w:rsidP="00E10B85">
            <w:pPr>
              <w:rPr>
                <w:sz w:val="24"/>
                <w:rFonts w:ascii="Times New Roman" w:hAnsi="Times New Roman"/>
              </w:rPr>
            </w:pPr>
            <w:r>
              <w:rPr>
                <w:sz w:val="24"/>
                <w:rFonts w:ascii="Times New Roman" w:hAnsi="Times New Roman"/>
              </w:rPr>
              <w:t xml:space="preserve">Korrelationshandelsporteføljen omfatter securitiseringer, "nth to default"-kreditderivater og evt. andre sikringspositioner, der opfylder kriterierne i artikel 338, stk. 2 og 3, i forordning (EU) nr. 575/2013.</w:t>
            </w:r>
          </w:p>
          <w:p w14:paraId="284429BF" w14:textId="77777777" w:rsidR="00C55547" w:rsidRPr="004B0EC7" w:rsidRDefault="00C55547" w:rsidP="00E10B85">
            <w:pPr>
              <w:rPr>
                <w:sz w:val="24"/>
                <w:rFonts w:ascii="Times New Roman" w:hAnsi="Times New Roman"/>
              </w:rPr>
            </w:pPr>
            <w:r>
              <w:rPr>
                <w:sz w:val="24"/>
                <w:rFonts w:ascii="Times New Roman" w:hAnsi="Times New Roman"/>
              </w:rPr>
              <w:t xml:space="preserve">Derivater af securitiseringseksponeringer, der giver en pro rata-andel, og positioner, der sikrer positioner i korrelationshandelsporteføljen, angives i rækken "Andre CTP-positioner".</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8204" w:type="dxa"/>
          </w:tcPr>
          <w:p w14:paraId="5251DCC8"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"NTH TO DEFAULT"-KREDITDERIVATER</w:t>
            </w:r>
          </w:p>
          <w:p w14:paraId="298FC0AB" w14:textId="5115C116" w:rsidR="00C55547" w:rsidRPr="004B0EC7" w:rsidRDefault="00C55547" w:rsidP="00E10B85">
            <w:pPr>
              <w:rPr>
                <w:sz w:val="24"/>
                <w:rFonts w:ascii="Times New Roman" w:hAnsi="Times New Roman"/>
              </w:rPr>
            </w:pPr>
            <w:r>
              <w:rPr>
                <w:sz w:val="24"/>
                <w:rFonts w:ascii="Times New Roman" w:hAnsi="Times New Roman"/>
              </w:rPr>
              <w:t xml:space="preserve">"Nth to default"-kreditderivater, der sikres af "nth to default"-kreditderivater i henhold til artikel 347 i forordning (EU) nr. 575/2013, indberettes her.</w:t>
            </w:r>
          </w:p>
          <w:p w14:paraId="0ADF3C10" w14:textId="77777777" w:rsidR="00C55547" w:rsidRPr="004B0EC7" w:rsidRDefault="00C55547" w:rsidP="00E10B85">
            <w:pPr>
              <w:rPr>
                <w:sz w:val="24"/>
                <w:rFonts w:ascii="Times New Roman" w:hAnsi="Times New Roman"/>
              </w:rPr>
            </w:pPr>
            <w:r>
              <w:rPr>
                <w:sz w:val="24"/>
                <w:rFonts w:ascii="Times New Roman" w:hAnsi="Times New Roman"/>
              </w:rPr>
              <w:t xml:space="preserve">Rollerne som eksponeringsleverende institut, investor og organiserende institut kan ikke bruges i forbindelse med "nth to default"-kreditderivater.</w:t>
            </w:r>
            <w:r>
              <w:rPr>
                <w:sz w:val="24"/>
                <w:rFonts w:ascii="Times New Roman" w:hAnsi="Times New Roman"/>
              </w:rPr>
              <w:t xml:space="preserve"> </w:t>
            </w:r>
            <w:r>
              <w:rPr>
                <w:sz w:val="24"/>
                <w:rFonts w:ascii="Times New Roman" w:hAnsi="Times New Roman"/>
              </w:rPr>
              <w:t xml:space="preserve">Der kan derfor ikke gives en opdeling for "nth to default"-kreditderivater på samme måde som for securitiseringspositioner.</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0040, 0070, 0100 og 0120</w:t>
            </w:r>
          </w:p>
        </w:tc>
        <w:tc>
          <w:tcPr>
            <w:tcW w:w="8204" w:type="dxa"/>
          </w:tcPr>
          <w:p w14:paraId="1BEC5316"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ANDRE CTP-POSITIONER</w:t>
            </w:r>
          </w:p>
          <w:p w14:paraId="543C28DD" w14:textId="77777777" w:rsidR="00C55547" w:rsidRPr="004B0EC7" w:rsidRDefault="00C55547" w:rsidP="00E10B85">
            <w:pPr>
              <w:rPr>
                <w:sz w:val="24"/>
                <w:rFonts w:ascii="Times New Roman" w:hAnsi="Times New Roman"/>
              </w:rPr>
            </w:pPr>
            <w:r>
              <w:rPr>
                <w:sz w:val="24"/>
                <w:rFonts w:ascii="Times New Roman" w:hAnsi="Times New Roman"/>
              </w:rPr>
              <w:t xml:space="preserve">Følgende positioner er omfattet:</w:t>
            </w:r>
            <w:r>
              <w:rPr>
                <w:sz w:val="24"/>
                <w:rFonts w:ascii="Times New Roman" w:hAnsi="Times New Roman"/>
              </w:rPr>
              <w:t xml:space="preserve"> </w:t>
            </w:r>
          </w:p>
          <w:p w14:paraId="22F89721" w14:textId="77777777" w:rsidR="00C55547" w:rsidRPr="004B0EC7" w:rsidRDefault="00C55547" w:rsidP="00E10B85">
            <w:pPr>
              <w:tabs>
                <w:tab w:val="left" w:pos="720"/>
              </w:tabs>
              <w:ind w:left="720" w:hanging="360"/>
              <w:rPr>
                <w:sz w:val="24"/>
                <w:rFonts w:ascii="Times New Roman" w:hAnsi="Times New Roman"/>
              </w:rPr>
            </w:pPr>
            <w:r>
              <w:rPr>
                <w:sz w:val="24"/>
                <w:rFonts w:ascii="Symbol" w:hAnsi="Symbol"/>
              </w:rPr>
              <w:t xml:space="preserve"></w:t>
            </w:r>
            <w:r>
              <w:tab/>
            </w:r>
            <w:r>
              <w:rPr>
                <w:sz w:val="24"/>
                <w:rFonts w:ascii="Times New Roman" w:hAnsi="Times New Roman"/>
              </w:rPr>
              <w:t xml:space="preserve">derivater af securitiseringseksponeringer, der giver en pro rata-andel, og positioner, der sikrer positioner i korrelationshandelsporteføljen</w:t>
            </w:r>
          </w:p>
          <w:p w14:paraId="35CA9598" w14:textId="4A9D4754" w:rsidR="00C55547" w:rsidRPr="004B0EC7" w:rsidRDefault="00C55547" w:rsidP="00E10B85">
            <w:pPr>
              <w:tabs>
                <w:tab w:val="left" w:pos="720"/>
              </w:tabs>
              <w:ind w:left="720" w:hanging="360"/>
              <w:rPr>
                <w:sz w:val="24"/>
                <w:rFonts w:ascii="Times New Roman" w:hAnsi="Times New Roman"/>
              </w:rPr>
            </w:pPr>
            <w:r>
              <w:rPr>
                <w:sz w:val="24"/>
                <w:rFonts w:ascii="Symbol" w:hAnsi="Symbol"/>
              </w:rPr>
              <w:t xml:space="preserve"></w:t>
            </w:r>
            <w:r>
              <w:tab/>
            </w:r>
            <w:r>
              <w:rPr>
                <w:sz w:val="24"/>
                <w:rFonts w:ascii="Times New Roman" w:hAnsi="Times New Roman"/>
              </w:rPr>
              <w:t xml:space="preserve">CTP-positioner, der sikres af kreditderivater i henhold til artikel 346 i forordning (EU) nr. 575/2013</w:t>
            </w:r>
          </w:p>
          <w:p w14:paraId="37D9C26F" w14:textId="0EC62F4B" w:rsidR="00C55547" w:rsidRPr="004B0EC7" w:rsidRDefault="00C55547" w:rsidP="005F3BBE">
            <w:pPr>
              <w:tabs>
                <w:tab w:val="left" w:pos="720"/>
              </w:tabs>
              <w:ind w:left="720" w:hanging="360"/>
              <w:rPr>
                <w:sz w:val="24"/>
                <w:rFonts w:ascii="Times New Roman" w:hAnsi="Times New Roman"/>
              </w:rPr>
            </w:pPr>
            <w:r>
              <w:rPr>
                <w:sz w:val="24"/>
                <w:rFonts w:ascii="Symbol" w:hAnsi="Symbol"/>
              </w:rPr>
              <w:t xml:space="preserve"></w:t>
            </w:r>
            <w:r>
              <w:tab/>
            </w:r>
            <w:r>
              <w:rPr>
                <w:sz w:val="24"/>
                <w:rFonts w:ascii="Times New Roman" w:hAnsi="Times New Roman"/>
              </w:rPr>
              <w:t xml:space="preserve">andre positioner, der er i overensstemmelse med artikel 338, stk. 3, i forordning (EU) nr. 575/2013.</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sz w:val="24"/>
          <w:u w:val="none"/>
          <w:rFonts w:ascii="Times New Roman" w:hAnsi="Times New Roman"/>
        </w:rPr>
        <w:t xml:space="preserve">5.4.</w:t>
      </w:r>
      <w:r>
        <w:tab/>
      </w:r>
      <w:r>
        <w:rPr>
          <w:sz w:val="24"/>
          <w:rFonts w:ascii="Times New Roman" w:hAnsi="Times New Roman"/>
        </w:rPr>
        <w:t xml:space="preserve">C 21.01 – Markedsrisiko:</w:t>
      </w:r>
      <w:r>
        <w:rPr>
          <w:sz w:val="24"/>
          <w:rFonts w:ascii="Times New Roman" w:hAnsi="Times New Roman"/>
        </w:rPr>
        <w:t xml:space="preserve"> </w:t>
      </w:r>
      <w:r>
        <w:rPr>
          <w:sz w:val="24"/>
          <w:rFonts w:ascii="Times New Roman" w:hAnsi="Times New Roman"/>
        </w:rPr>
        <w:t xml:space="preserve">Positionsrisiko i aktier opgjort efter den forenklede standardmetode</w:t>
      </w:r>
      <w:bookmarkEnd w:id="82"/>
      <w:bookmarkEnd w:id="83"/>
      <w:bookmarkEnd w:id="84"/>
      <w:bookmarkEnd w:id="85"/>
      <w:bookmarkEnd w:id="86"/>
      <w:r>
        <w:rPr>
          <w:sz w:val="24"/>
          <w:rFonts w:ascii="Times New Roman" w:hAnsi="Times New Roman"/>
        </w:rPr>
        <w:t xml:space="preserve"> (MKR SSA EQU)</w:t>
      </w:r>
      <w:bookmarkEnd w:id="87"/>
      <w:bookmarkEnd w:id="88"/>
    </w:p>
    <w:p w14:paraId="28B3FACA"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sz w:val="24"/>
          <w:u w:val="none"/>
          <w:rFonts w:ascii="Times New Roman" w:hAnsi="Times New Roman"/>
        </w:rPr>
        <w:t xml:space="preserve">5.4.1.</w:t>
      </w:r>
      <w:r>
        <w:tab/>
      </w:r>
      <w:r>
        <w:rPr>
          <w:sz w:val="24"/>
          <w:rFonts w:ascii="Times New Roman" w:hAnsi="Times New Roman"/>
        </w:rPr>
        <w:t xml:space="preserve">Generelle bemærkninger</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fldChar w:fldCharType="begin" w:dirty="true"/>
      </w:r>
      <w:r>
        <w:instrText>seq paragraphs</w:instrText>
      </w:r>
      <w:r>
        <w:fldChar w:fldCharType="separate"/>
      </w:r>
      <w:r>
        <w:t xml:space="preserve">169</w:t>
      </w:r>
      <w:r>
        <w:fldChar w:fldCharType="end"/>
      </w:r>
      <w:r>
        <w:t xml:space="preserve">.</w:t>
      </w:r>
      <w:r>
        <w:tab/>
      </w:r>
      <w:r>
        <w:t xml:space="preserve"> </w:t>
      </w:r>
      <w:r>
        <w:t xml:space="preserve">I dette skema indberettes der oplysninger om positioner og de tilsvarende kapitalgrundlagskrav for positionsrisikoen i aktier i handelsbeholdningen opgjort efter standardmetoden.</w:t>
      </w:r>
    </w:p>
    <w:p w14:paraId="3AF5EC7C" w14:textId="2604BD99" w:rsidR="00B828CC" w:rsidRPr="004B0EC7" w:rsidRDefault="008F3052" w:rsidP="00660845">
      <w:pPr>
        <w:pStyle w:val="InstructionsText2"/>
        <w:numPr>
          <w:ilvl w:val="0"/>
          <w:numId w:val="0"/>
        </w:numPr>
        <w:ind w:left="993"/>
      </w:pPr>
      <w:r>
        <w:fldChar w:fldCharType="begin" w:dirty="true"/>
      </w:r>
      <w:r>
        <w:instrText>seq paragraphs</w:instrText>
      </w:r>
      <w:r>
        <w:fldChar w:fldCharType="separate"/>
      </w:r>
      <w:r>
        <w:t xml:space="preserve">170</w:t>
      </w:r>
      <w:r>
        <w:fldChar w:fldCharType="end"/>
      </w:r>
      <w:r>
        <w:t xml:space="preserve">.</w:t>
      </w:r>
      <w:r>
        <w:tab/>
      </w:r>
      <w:r>
        <w:t xml:space="preserve"> </w:t>
      </w:r>
      <w:r>
        <w:t xml:space="preserve">Skemaet skal udfyldes separat for "Total" sammen med en fast, foruddefineret liste af følgende markeder:</w:t>
      </w:r>
      <w:r>
        <w:t xml:space="preserve"> </w:t>
      </w:r>
      <w:r>
        <w:t xml:space="preserve">Albanien, Bulgarien, Danmark, Den Tidligere Jugoslaviske Republik Makedonien, Det Forenede Kongerige, Egypten, Island, Japan, Liechtenstein, Norge, Polen, Rumænien, Rusland, Schweiz, Serbien, Sverige, Tjekkiet, Tyrkiet, Ukraine, Ungarn, USA og euroområdet samt et restskema for alle andre markeder.</w:t>
      </w:r>
      <w:r>
        <w:t xml:space="preserve"> </w:t>
      </w:r>
      <w:r>
        <w:t xml:space="preserve">I forbindelse med dette indberetningskrav skal ordet "marked" forstås som "land". (undtagen for lande i euroområdet; se Kommissionens delegerede forordning (EU) nr. 525/2014</w:t>
      </w:r>
      <w:r>
        <w:rPr>
          <w:rStyle w:val="FootnoteReference"/>
        </w:rPr>
        <w:footnoteReference w:id="2"/>
      </w:r>
      <w:r>
        <w:t xml:space="preserve">).</w:t>
      </w:r>
    </w:p>
    <w:p w14:paraId="077E1A41" w14:textId="0A87F23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sz w:val="24"/>
          <w:u w:val="none"/>
          <w:rFonts w:ascii="Times New Roman" w:hAnsi="Times New Roman"/>
        </w:rPr>
        <w:t xml:space="preserve">5.4.2.</w:t>
      </w:r>
      <w:r>
        <w:tab/>
      </w:r>
      <w:r>
        <w:rPr>
          <w:sz w:val="24"/>
          <w:rFonts w:ascii="Times New Roman" w:hAnsi="Times New Roman"/>
        </w:rPr>
        <w:t xml:space="preserve">Instrukser vedrørende specifikke positioner</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Kolonner</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4" w:type="dxa"/>
          </w:tcPr>
          <w:p w14:paraId="57FBE31B" w14:textId="77777777" w:rsidR="000B0B09" w:rsidRPr="004B0EC7" w:rsidRDefault="000B0B09" w:rsidP="005F3BBE">
            <w:pPr>
              <w:autoSpaceDE w:val="0"/>
              <w:autoSpaceDN w:val="0"/>
              <w:adjustRightInd w:val="0"/>
              <w:rPr>
                <w:b/>
                <w:bCs/>
                <w:sz w:val="24"/>
                <w:u w:val="single"/>
                <w:rFonts w:ascii="Times New Roman" w:hAnsi="Times New Roman"/>
              </w:rPr>
            </w:pPr>
            <w:r>
              <w:rPr>
                <w:b/>
                <w:sz w:val="24"/>
                <w:u w:val="single"/>
                <w:rFonts w:ascii="Times New Roman" w:hAnsi="Times New Roman"/>
              </w:rPr>
              <w:t xml:space="preserve">ALLE POSITIONER (LANGE OG KORTE)</w:t>
            </w:r>
          </w:p>
          <w:p w14:paraId="754457ED" w14:textId="6411188D" w:rsidR="005C14B0" w:rsidRPr="004B0EC7" w:rsidRDefault="000B0B09" w:rsidP="005F3BBE">
            <w:pPr>
              <w:autoSpaceDE w:val="0"/>
              <w:autoSpaceDN w:val="0"/>
              <w:adjustRightInd w:val="0"/>
              <w:spacing w:before="0"/>
              <w:rPr>
                <w:sz w:val="24"/>
                <w:rFonts w:ascii="Times New Roman" w:hAnsi="Times New Roman"/>
              </w:rPr>
            </w:pPr>
            <w:r>
              <w:rPr>
                <w:sz w:val="24"/>
                <w:rFonts w:ascii="Times New Roman" w:hAnsi="Times New Roman"/>
              </w:rPr>
              <w:t xml:space="preserve">Artikel 102 og artikel 105, stk. 1, i forordning (EU) nr. 575/2013</w:t>
            </w:r>
            <w:r>
              <w:rPr>
                <w:sz w:val="24"/>
                <w:rFonts w:ascii="Times New Roman" w:hAnsi="Times New Roman"/>
              </w:rPr>
              <w:t xml:space="preserve"> </w:t>
            </w:r>
          </w:p>
          <w:p w14:paraId="59EE061F" w14:textId="7EE7BDEC" w:rsidR="000B0B09" w:rsidRPr="004B0EC7" w:rsidRDefault="000B0B09" w:rsidP="00E64BFE">
            <w:pPr>
              <w:autoSpaceDE w:val="0"/>
              <w:autoSpaceDN w:val="0"/>
              <w:adjustRightInd w:val="0"/>
              <w:spacing w:before="0"/>
              <w:rPr>
                <w:sz w:val="24"/>
                <w:rFonts w:ascii="Times New Roman" w:hAnsi="Times New Roman"/>
              </w:rPr>
            </w:pPr>
            <w:r>
              <w:rPr>
                <w:sz w:val="24"/>
                <w:rFonts w:ascii="Times New Roman" w:hAnsi="Times New Roman"/>
              </w:rPr>
              <w:t xml:space="preserve">Disse er bruttopositioner uden indregning af instrumenter, men ekskl. garanterede positioner, som tredjemand har tegnet sig for eller forpligtet sig til at aftage som omhandlet i artikel 345, stk. 1, første afsnit, andet punktum, i forordning (EU) nr. 575/2013.</w:t>
            </w:r>
            <w:r>
              <w:rPr>
                <w:sz w:val="24"/>
                <w:rFonts w:ascii="Times New Roman" w:hAnsi="Times New Roman"/>
              </w:rPr>
              <w:t xml:space="preserve">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r>
              <w:rPr>
                <w:sz w:val="24"/>
                <w:rFonts w:ascii="Times New Roman" w:hAnsi="Times New Roman"/>
              </w:rPr>
              <w:t xml:space="preserve"> </w:t>
            </w:r>
          </w:p>
        </w:tc>
        <w:tc>
          <w:tcPr>
            <w:tcW w:w="7874" w:type="dxa"/>
          </w:tcPr>
          <w:p w14:paraId="22DC25D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NETTOPOSITIONER (LANGE OG KORTE)</w:t>
            </w:r>
          </w:p>
          <w:p w14:paraId="72A57BC7" w14:textId="1B6E0BBC" w:rsidR="000B0B09" w:rsidRPr="004B0EC7" w:rsidRDefault="000B0B09" w:rsidP="005F3BBE">
            <w:pPr>
              <w:autoSpaceDE w:val="0"/>
              <w:autoSpaceDN w:val="0"/>
              <w:adjustRightInd w:val="0"/>
              <w:rPr>
                <w:sz w:val="24"/>
                <w:rFonts w:ascii="Times New Roman" w:hAnsi="Times New Roman"/>
              </w:rPr>
            </w:pPr>
            <w:r>
              <w:rPr>
                <w:sz w:val="24"/>
                <w:rFonts w:ascii="Times New Roman" w:hAnsi="Times New Roman"/>
              </w:rPr>
              <w:t xml:space="preserve">Artikel 327, 329, 332, 341 og 345 i forordning (EU) nr. 575/2013</w:t>
            </w:r>
            <w:r>
              <w:rPr>
                <w:sz w:val="24"/>
                <w:rFonts w:ascii="Times New Roman" w:hAnsi="Times New Roman"/>
              </w:rPr>
              <w:t xml:space="preserve">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POSITIONER UNDERLAGT KAPITALKRAV</w:t>
            </w:r>
          </w:p>
          <w:p w14:paraId="5B62E698" w14:textId="56A23293" w:rsidR="000B0B09" w:rsidRPr="004B0EC7" w:rsidRDefault="000B0B09" w:rsidP="005F3BBE">
            <w:pPr>
              <w:autoSpaceDE w:val="0"/>
              <w:autoSpaceDN w:val="0"/>
              <w:adjustRightInd w:val="0"/>
              <w:spacing w:after="0"/>
              <w:rPr>
                <w:sz w:val="24"/>
                <w:rFonts w:ascii="Times New Roman" w:hAnsi="Times New Roman"/>
              </w:rPr>
            </w:pPr>
            <w:r>
              <w:rPr>
                <w:sz w:val="24"/>
                <w:rFonts w:ascii="Times New Roman" w:hAnsi="Times New Roman"/>
              </w:rPr>
              <w:t xml:space="preserve">Nettopositioner, som i henhold til de forskellige metoder, der er omhandlet i tredje del, afsnit IV, kapitel 2, i forordning (EU) nr. 575/2013, pålægges et kapitalkrav.</w:t>
            </w:r>
            <w:r>
              <w:rPr>
                <w:sz w:val="24"/>
                <w:rFonts w:ascii="Times New Roman" w:hAnsi="Times New Roman"/>
              </w:rPr>
              <w:t xml:space="preserve"> </w:t>
            </w:r>
            <w:r>
              <w:rPr>
                <w:sz w:val="24"/>
                <w:rFonts w:ascii="Times New Roman" w:hAnsi="Times New Roman"/>
              </w:rPr>
              <w:t xml:space="preserve">Kapitalkravet skal beregnes separat for hvert nationalt marked.</w:t>
            </w:r>
            <w:r>
              <w:rPr>
                <w:sz w:val="24"/>
                <w:rFonts w:ascii="Times New Roman" w:hAnsi="Times New Roman"/>
              </w:rPr>
              <w:t xml:space="preserve"> </w:t>
            </w:r>
            <w:r>
              <w:rPr>
                <w:sz w:val="24"/>
                <w:rFonts w:ascii="Times New Roman" w:hAnsi="Times New Roman"/>
              </w:rPr>
              <w:t xml:space="preserve">Positioner i aktieindeksfutures som omhandlet i artikel 344, stk. 4, i forordning (EU) nr. 575/2013, medtages ikke i denne kolonne.</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KAPITALGRUNDLAGSKRAV FØR ANVENDELSE AF JUSTERINGSFAKTORER</w:t>
            </w:r>
          </w:p>
          <w:p w14:paraId="75CDA27D" w14:textId="1AD90BE9" w:rsidR="000B0B09" w:rsidRPr="004B0EC7" w:rsidRDefault="000B0B09" w:rsidP="005F3BBE">
            <w:pPr>
              <w:autoSpaceDE w:val="0"/>
              <w:autoSpaceDN w:val="0"/>
              <w:adjustRightInd w:val="0"/>
              <w:spacing w:after="0"/>
              <w:rPr>
                <w:sz w:val="24"/>
                <w:rFonts w:ascii="Times New Roman" w:hAnsi="Times New Roman"/>
              </w:rPr>
            </w:pPr>
            <w:r>
              <w:rPr>
                <w:sz w:val="24"/>
                <w:rFonts w:ascii="Times New Roman" w:hAnsi="Times New Roman"/>
              </w:rPr>
              <w:t xml:space="preserve">Kapitalgrundlagskravene i overensstemmelse med tredje del, afsnit IV, kapitel 2, i forordning (EU) nr. 575/2013 for enhver relevant position før anvendelse af de justeringsfaktorer, der er omhandlet i artikel 325, stk. 2, litra a), nr. ii), i nævnte forordning.</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SAMLET RISIKOEKSPONERING</w:t>
            </w:r>
          </w:p>
          <w:p w14:paraId="33E7C378" w14:textId="2CD315CB" w:rsidR="00E64BFE" w:rsidRPr="004B0EC7" w:rsidRDefault="000B0B09" w:rsidP="005F3BBE">
            <w:pPr>
              <w:tabs>
                <w:tab w:val="left" w:pos="1665"/>
              </w:tabs>
              <w:autoSpaceDE w:val="0"/>
              <w:autoSpaceDN w:val="0"/>
              <w:adjustRightInd w:val="0"/>
              <w:spacing w:after="0"/>
              <w:rPr>
                <w:sz w:val="24"/>
                <w:rFonts w:ascii="Times New Roman" w:hAnsi="Times New Roman"/>
              </w:rPr>
            </w:pPr>
            <w:r>
              <w:rPr>
                <w:sz w:val="24"/>
                <w:rFonts w:ascii="Times New Roman" w:hAnsi="Times New Roman"/>
              </w:rPr>
              <w:t xml:space="preserve">Artikel 92, stk. 4, litra b), nr. i), i forordning (EU) nr. 575/2013.</w:t>
            </w:r>
            <w:r>
              <w:rPr>
                <w:sz w:val="24"/>
                <w:rFonts w:ascii="Times New Roman" w:hAnsi="Times New Roman"/>
              </w:rPr>
              <w:t xml:space="preserve"> </w:t>
            </w:r>
          </w:p>
          <w:p w14:paraId="5D42B3B3" w14:textId="746A8766" w:rsidR="000B0B09" w:rsidRPr="004B0EC7" w:rsidRDefault="000B0B09" w:rsidP="00B828CC">
            <w:pPr>
              <w:tabs>
                <w:tab w:val="left" w:pos="1665"/>
              </w:tabs>
              <w:autoSpaceDE w:val="0"/>
              <w:autoSpaceDN w:val="0"/>
              <w:adjustRightInd w:val="0"/>
              <w:rPr>
                <w:b/>
                <w:bCs/>
                <w:sz w:val="24"/>
                <w:u w:val="single"/>
                <w:rFonts w:ascii="Times New Roman" w:hAnsi="Times New Roman"/>
              </w:rPr>
            </w:pPr>
            <w:r>
              <w:rPr>
                <w:sz w:val="24"/>
                <w:rFonts w:ascii="Times New Roman" w:hAnsi="Times New Roman"/>
              </w:rPr>
              <w:t xml:space="preserve">Resultatet af multiplikationen af kapitalgrundlagskravet med 12,5 i overensstemmelse med artikel 92, stk. 6, litra b), i forordning (EU) nr. 575/2013 og med justeringsfaktoren, jf. artikel 325, stk. 2, litra a), nr. ii), i nævnte forordning.</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Rækker</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0010-0130</w:t>
            </w:r>
          </w:p>
        </w:tc>
        <w:tc>
          <w:tcPr>
            <w:tcW w:w="8204" w:type="dxa"/>
          </w:tcPr>
          <w:p w14:paraId="1FF7DE12"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AKTIER I HANDELSBEHOLDNINGEN</w:t>
            </w:r>
          </w:p>
          <w:p w14:paraId="030F1935" w14:textId="5FC6F493" w:rsidR="000B0B09" w:rsidRPr="004B0EC7" w:rsidRDefault="000B0B09" w:rsidP="007062FD">
            <w:pPr>
              <w:tabs>
                <w:tab w:val="left" w:pos="1665"/>
              </w:tabs>
              <w:autoSpaceDE w:val="0"/>
              <w:autoSpaceDN w:val="0"/>
              <w:adjustRightInd w:val="0"/>
              <w:rPr>
                <w:sz w:val="24"/>
                <w:rFonts w:ascii="Times New Roman" w:hAnsi="Times New Roman"/>
              </w:rPr>
            </w:pPr>
            <w:r>
              <w:rPr>
                <w:sz w:val="24"/>
                <w:rFonts w:ascii="Times New Roman" w:hAnsi="Times New Roman"/>
              </w:rPr>
              <w:t xml:space="preserve">Kapitalgrundlagskrav for positionsrisiko som omhandlet i artikel 92, stk. 4, litra b), nr. i), i forordning (EU) nr. 575/2013 og tredje del, afsnit IV, kapitel 2, afdeling 3, i nævnte forordning.</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0020-0040</w:t>
            </w:r>
          </w:p>
        </w:tc>
        <w:tc>
          <w:tcPr>
            <w:tcW w:w="8204" w:type="dxa"/>
          </w:tcPr>
          <w:p w14:paraId="029ED25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GENEREL RISIKO</w:t>
            </w:r>
          </w:p>
          <w:p w14:paraId="21F94335" w14:textId="276AABDB" w:rsidR="000B0B09" w:rsidRPr="004B0EC7" w:rsidRDefault="000B0B09" w:rsidP="005F3BBE">
            <w:pPr>
              <w:autoSpaceDE w:val="0"/>
              <w:autoSpaceDN w:val="0"/>
              <w:adjustRightInd w:val="0"/>
              <w:rPr>
                <w:sz w:val="24"/>
                <w:rFonts w:ascii="Times New Roman" w:hAnsi="Times New Roman"/>
              </w:rPr>
            </w:pPr>
            <w:r>
              <w:rPr>
                <w:sz w:val="24"/>
                <w:rFonts w:ascii="Times New Roman" w:hAnsi="Times New Roman"/>
              </w:rPr>
              <w:t xml:space="preserve">Positioner i aktier underlagt generel risiko (artikel 343 i forordning (EU) nr. 575/2013) og deres tilsvarende kapitalgrundlagskrav i henhold til tredje del, afsnit IV, kapitel 2, afdeling 3, i nævnte forordning</w:t>
            </w:r>
            <w:r>
              <w:rPr>
                <w:sz w:val="24"/>
                <w:rFonts w:ascii="Times New Roman" w:hAnsi="Times New Roman"/>
              </w:rPr>
              <w:t xml:space="preserve"> </w:t>
            </w:r>
          </w:p>
          <w:p w14:paraId="729400AD" w14:textId="77777777" w:rsidR="001E0C80" w:rsidRPr="004B0EC7" w:rsidRDefault="000B0B09" w:rsidP="005F3BBE">
            <w:pPr>
              <w:autoSpaceDE w:val="0"/>
              <w:autoSpaceDN w:val="0"/>
              <w:adjustRightInd w:val="0"/>
              <w:spacing w:before="0"/>
              <w:rPr>
                <w:sz w:val="24"/>
                <w:rFonts w:ascii="Times New Roman" w:hAnsi="Times New Roman"/>
              </w:rPr>
            </w:pPr>
            <w:r>
              <w:rPr>
                <w:sz w:val="24"/>
                <w:rFonts w:ascii="Times New Roman" w:hAnsi="Times New Roman"/>
              </w:rPr>
              <w:t xml:space="preserve">Begge opdelinger (række 0021/0022 og række 0030/0040) er en opdeling vedrørende alle positioner, der er underlagt generel risiko.</w:t>
            </w:r>
          </w:p>
          <w:p w14:paraId="32EAD513" w14:textId="77777777" w:rsidR="004E2725"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I række 0021 og 0022 indberettes der oplysninger om opdelingen efter instrument.</w:t>
            </w:r>
            <w:r>
              <w:rPr>
                <w:sz w:val="24"/>
                <w:rFonts w:ascii="Times New Roman" w:hAnsi="Times New Roman"/>
              </w:rPr>
              <w:t xml:space="preserve"> </w:t>
            </w:r>
          </w:p>
          <w:p w14:paraId="75FD06DA" w14:textId="77777777" w:rsidR="000B0B09" w:rsidRPr="004B0EC7" w:rsidRDefault="000B0B09" w:rsidP="00B828CC">
            <w:pPr>
              <w:tabs>
                <w:tab w:val="left" w:pos="1665"/>
              </w:tabs>
              <w:autoSpaceDE w:val="0"/>
              <w:autoSpaceDN w:val="0"/>
              <w:adjustRightInd w:val="0"/>
              <w:rPr>
                <w:sz w:val="24"/>
                <w:rFonts w:ascii="Times New Roman" w:hAnsi="Times New Roman"/>
              </w:rPr>
            </w:pPr>
            <w:r>
              <w:rPr>
                <w:sz w:val="24"/>
                <w:rFonts w:ascii="Times New Roman" w:hAnsi="Times New Roman"/>
              </w:rPr>
              <w:t xml:space="preserve">Kun opdelingen i række 0030 og 0040 bruges som grundlag for beregning af kapitalgrundlagskravene.</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0021</w:t>
            </w:r>
          </w:p>
        </w:tc>
        <w:tc>
          <w:tcPr>
            <w:tcW w:w="8204" w:type="dxa"/>
          </w:tcPr>
          <w:p w14:paraId="51E4EB2D" w14:textId="77777777" w:rsidR="000B0B09" w:rsidRPr="004B0EC7" w:rsidRDefault="000B0B09" w:rsidP="000B0B09">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Derivater</w:t>
            </w:r>
          </w:p>
          <w:p w14:paraId="561EFF21" w14:textId="424FAD2D" w:rsidR="000B0B09" w:rsidRPr="004B0EC7" w:rsidRDefault="000B0B09" w:rsidP="005F3BBE">
            <w:pPr>
              <w:autoSpaceDE w:val="0"/>
              <w:autoSpaceDN w:val="0"/>
              <w:adjustRightInd w:val="0"/>
              <w:rPr>
                <w:b/>
                <w:bCs/>
                <w:sz w:val="24"/>
                <w:u w:val="single"/>
                <w:rFonts w:ascii="Times New Roman" w:hAnsi="Times New Roman"/>
              </w:rPr>
            </w:pPr>
            <w:r>
              <w:rPr>
                <w:sz w:val="24"/>
                <w:rFonts w:ascii="Times New Roman" w:hAnsi="Times New Roman"/>
              </w:rPr>
              <w:t xml:space="preserve">Derivater, der indgår i beregningen af aktierisikoen ved positioner i handelsbeholdningen, jf. artikel 329 og 332 i forordning (EU) nr. 575/2013, hvis det er relevant.</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0022</w:t>
            </w:r>
          </w:p>
        </w:tc>
        <w:tc>
          <w:tcPr>
            <w:tcW w:w="8204" w:type="dxa"/>
          </w:tcPr>
          <w:p w14:paraId="100EC51C" w14:textId="77777777" w:rsidR="000B0B09" w:rsidRPr="004B0EC7" w:rsidRDefault="000B0B09" w:rsidP="000B0B09">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Andre aktiver og passiver</w:t>
            </w:r>
          </w:p>
          <w:p w14:paraId="21AC79DF" w14:textId="77777777" w:rsidR="000B0B09" w:rsidRPr="004B0EC7" w:rsidRDefault="000B0B09" w:rsidP="005F3BBE">
            <w:pPr>
              <w:autoSpaceDE w:val="0"/>
              <w:autoSpaceDN w:val="0"/>
              <w:adjustRightInd w:val="0"/>
              <w:rPr>
                <w:b/>
                <w:bCs/>
                <w:sz w:val="24"/>
                <w:u w:val="single"/>
                <w:rFonts w:ascii="Times New Roman" w:hAnsi="Times New Roman"/>
              </w:rPr>
            </w:pPr>
            <w:r>
              <w:rPr>
                <w:sz w:val="24"/>
                <w:rFonts w:ascii="Times New Roman" w:hAnsi="Times New Roman"/>
              </w:rPr>
              <w:t xml:space="preserve">Andre instrumenter end derivater, der indgår i beregningen af aktierisikoen ved positioner i handelsbeholdningen.</w:t>
            </w:r>
            <w:r>
              <w:rPr>
                <w:sz w:val="24"/>
                <w:rFonts w:ascii="Times New Roman" w:hAnsi="Times New Roman"/>
              </w:rPr>
              <w:t xml:space="preserve">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8204" w:type="dxa"/>
          </w:tcPr>
          <w:p w14:paraId="5BE0B58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Børshandlede aktieindeksfutures, der er bredt diversificerede og omfattet af en særlig metode</w:t>
            </w:r>
          </w:p>
          <w:p w14:paraId="56A22316" w14:textId="77777777" w:rsidR="005C14B0" w:rsidRPr="004B0EC7" w:rsidRDefault="000B0B09" w:rsidP="00B828CC">
            <w:pPr>
              <w:tabs>
                <w:tab w:val="left" w:pos="1665"/>
              </w:tabs>
              <w:autoSpaceDE w:val="0"/>
              <w:autoSpaceDN w:val="0"/>
              <w:adjustRightInd w:val="0"/>
              <w:rPr>
                <w:sz w:val="24"/>
                <w:rFonts w:ascii="Times New Roman" w:hAnsi="Times New Roman"/>
              </w:rPr>
            </w:pPr>
            <w:r>
              <w:rPr>
                <w:sz w:val="24"/>
                <w:rFonts w:ascii="Times New Roman" w:hAnsi="Times New Roman"/>
              </w:rPr>
              <w:t xml:space="preserve">Børshandlede aktieindeksfutures, der er bredt diversificerede og omfattet af en særlig metode i overensstemmelse med Kommissionens gennemførelsesforordning (EU) nr. 945/2014</w:t>
            </w:r>
            <w:r>
              <w:rPr>
                <w:rStyle w:val="FootnoteReference"/>
              </w:rPr>
              <w:footnoteReference w:id="3"/>
            </w:r>
          </w:p>
          <w:p w14:paraId="2528F1AA" w14:textId="77777777" w:rsidR="000B0B09" w:rsidRPr="004B0EC7" w:rsidRDefault="000B0B09" w:rsidP="00B828CC">
            <w:pPr>
              <w:tabs>
                <w:tab w:val="left" w:pos="1665"/>
              </w:tabs>
              <w:autoSpaceDE w:val="0"/>
              <w:autoSpaceDN w:val="0"/>
              <w:adjustRightInd w:val="0"/>
              <w:rPr>
                <w:b/>
                <w:bCs/>
                <w:sz w:val="24"/>
                <w:u w:val="single"/>
                <w:rFonts w:ascii="Times New Roman" w:hAnsi="Times New Roman"/>
              </w:rPr>
            </w:pPr>
            <w:r>
              <w:rPr>
                <w:sz w:val="24"/>
                <w:rFonts w:ascii="Times New Roman" w:hAnsi="Times New Roman"/>
              </w:rPr>
              <w:t xml:space="preserve">Disse positioner er kun underlagt generel risiko og skal derfor ikke indberettes i række 0050.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8204" w:type="dxa"/>
          </w:tcPr>
          <w:p w14:paraId="10EE0C22"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Andre aktier end børshandlede aktieindeksfutures, der er bredt diversificerede</w:t>
            </w:r>
          </w:p>
          <w:p w14:paraId="17542C2D" w14:textId="0BABB084" w:rsidR="000B0B09" w:rsidRPr="004B0EC7" w:rsidRDefault="000B0B09" w:rsidP="007062FD">
            <w:pPr>
              <w:autoSpaceDE w:val="0"/>
              <w:autoSpaceDN w:val="0"/>
              <w:adjustRightInd w:val="0"/>
              <w:rPr>
                <w:sz w:val="24"/>
                <w:rFonts w:ascii="Times New Roman" w:hAnsi="Times New Roman"/>
              </w:rPr>
            </w:pPr>
            <w:r>
              <w:rPr>
                <w:sz w:val="24"/>
                <w:rFonts w:ascii="Times New Roman" w:hAnsi="Times New Roman"/>
              </w:rPr>
              <w:t xml:space="preserve">Andre positioner i aktier underlagt specifik risiko og de tilsvarende kapitalgrundlagskrav i henhold til artikel 343 i forordning (EU) nr. 575/2013, herunder positioner i aktieindeksfutures behandlet i overensstemmelse med artikel 344, stk. 3, i nævnte forordning</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0050</w:t>
            </w:r>
            <w:r>
              <w:rPr>
                <w:sz w:val="24"/>
                <w:rFonts w:ascii="Times New Roman" w:hAnsi="Times New Roman"/>
              </w:rPr>
              <w:t xml:space="preserve"> </w:t>
            </w:r>
          </w:p>
        </w:tc>
        <w:tc>
          <w:tcPr>
            <w:tcW w:w="8204" w:type="dxa"/>
          </w:tcPr>
          <w:p w14:paraId="0CF5CE8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SPECIFIK RISIKO</w:t>
            </w:r>
          </w:p>
          <w:p w14:paraId="4CFFEA2D" w14:textId="05674FED" w:rsidR="000B0B09" w:rsidRPr="004B0EC7" w:rsidRDefault="000B0B09" w:rsidP="007062FD">
            <w:pPr>
              <w:autoSpaceDE w:val="0"/>
              <w:autoSpaceDN w:val="0"/>
              <w:adjustRightInd w:val="0"/>
              <w:rPr>
                <w:sz w:val="24"/>
                <w:rFonts w:ascii="Times New Roman" w:hAnsi="Times New Roman"/>
              </w:rPr>
            </w:pPr>
            <w:r>
              <w:rPr>
                <w:sz w:val="24"/>
                <w:rFonts w:ascii="Times New Roman" w:hAnsi="Times New Roman"/>
              </w:rPr>
              <w:t xml:space="preserve">Positioner i aktier underlagt specifik risiko og det tilsvarende kapitalgrundlagskrav i henhold til artikel 342 i forordning (EU) nr. 575/2013, herunder ikke positioner i aktieindeksfutures behandlet i overensstemmelse med artikel 344, stk. 4, andet punktum, i nævnte forordning</w:t>
            </w:r>
            <w:r>
              <w:rPr>
                <w:sz w:val="24"/>
                <w:rFonts w:ascii="Times New Roman" w:hAnsi="Times New Roman"/>
              </w:rPr>
              <w:t xml:space="preserve">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0090-0130</w:t>
            </w:r>
          </w:p>
        </w:tc>
        <w:tc>
          <w:tcPr>
            <w:tcW w:w="8204" w:type="dxa"/>
          </w:tcPr>
          <w:p w14:paraId="1BAF0B57"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YDERLIGERE KRAV TIL OPTIONER (BORTSET FRA DELTARISICI)</w:t>
            </w:r>
          </w:p>
          <w:p w14:paraId="2552C107" w14:textId="2AD28847" w:rsidR="000B0B09" w:rsidRPr="004B0EC7" w:rsidRDefault="00F2521E" w:rsidP="00F2521E">
            <w:pPr>
              <w:autoSpaceDE w:val="0"/>
              <w:autoSpaceDN w:val="0"/>
              <w:adjustRightInd w:val="0"/>
              <w:rPr>
                <w:sz w:val="24"/>
                <w:rFonts w:ascii="Times New Roman" w:hAnsi="Times New Roman"/>
              </w:rPr>
            </w:pPr>
            <w:r>
              <w:rPr>
                <w:sz w:val="24"/>
                <w:rFonts w:ascii="Times New Roman" w:hAnsi="Times New Roman"/>
              </w:rPr>
              <w:t xml:space="preserve">Artikel 329, 2 og 3, i forordning (EU) nr. 575/2013</w:t>
            </w:r>
            <w:r>
              <w:rPr>
                <w:sz w:val="24"/>
                <w:rFonts w:ascii="Times New Roman" w:hAnsi="Times New Roman"/>
              </w:rPr>
              <w:t xml:space="preserve"> </w:t>
            </w:r>
          </w:p>
          <w:p w14:paraId="72C3FAC3" w14:textId="77777777" w:rsidR="000B0B09"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De yderligere krav til optioner vedrørende andre risici end deltarisici indberettes ved hjælp af den metode, der er anvendt til beregningen heraf.</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sz w:val="24"/>
          <w:u w:val="none"/>
          <w:rFonts w:ascii="Times New Roman" w:hAnsi="Times New Roman"/>
        </w:rPr>
        <w:t xml:space="preserve">5.5.</w:t>
      </w:r>
      <w:r>
        <w:tab/>
      </w:r>
      <w:r>
        <w:rPr>
          <w:sz w:val="24"/>
          <w:rFonts w:ascii="Times New Roman" w:hAnsi="Times New Roman"/>
        </w:rPr>
        <w:t xml:space="preserve">C 22.01 – Markedsrisiko:</w:t>
      </w:r>
      <w:r>
        <w:rPr>
          <w:sz w:val="24"/>
          <w:rFonts w:ascii="Times New Roman" w:hAnsi="Times New Roman"/>
        </w:rPr>
        <w:t xml:space="preserve"> </w:t>
      </w:r>
      <w:r>
        <w:rPr>
          <w:sz w:val="24"/>
          <w:rFonts w:ascii="Times New Roman" w:hAnsi="Times New Roman"/>
        </w:rPr>
        <w:t xml:space="preserve">Valutarisiko opgjort efter den forenklede standardmetode</w:t>
      </w:r>
      <w:bookmarkEnd w:id="103"/>
      <w:bookmarkEnd w:id="104"/>
      <w:bookmarkEnd w:id="105"/>
      <w:bookmarkEnd w:id="106"/>
      <w:bookmarkEnd w:id="107"/>
      <w:r>
        <w:rPr>
          <w:sz w:val="24"/>
          <w:rFonts w:ascii="Times New Roman" w:hAnsi="Times New Roman"/>
        </w:rPr>
        <w:t xml:space="preserve"> (MKR SSA FX)</w:t>
      </w:r>
      <w:bookmarkEnd w:id="108"/>
      <w:bookmarkEnd w:id="109"/>
    </w:p>
    <w:p w14:paraId="70FD2A29"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sz w:val="24"/>
          <w:u w:val="none"/>
          <w:rFonts w:ascii="Times New Roman" w:hAnsi="Times New Roman"/>
        </w:rPr>
        <w:t xml:space="preserve">5.5.1.</w:t>
      </w:r>
      <w:r>
        <w:tab/>
      </w:r>
      <w:r>
        <w:rPr>
          <w:sz w:val="24"/>
          <w:rFonts w:ascii="Times New Roman" w:hAnsi="Times New Roman"/>
        </w:rPr>
        <w:t xml:space="preserve">Generelle bemærkninger</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fldChar w:fldCharType="begin" w:dirty="true"/>
      </w:r>
      <w:r>
        <w:instrText>seq paragraphs</w:instrText>
      </w:r>
      <w:r>
        <w:fldChar w:fldCharType="separate"/>
      </w:r>
      <w:r>
        <w:t xml:space="preserve">171</w:t>
      </w:r>
      <w:r>
        <w:fldChar w:fldCharType="end"/>
      </w:r>
      <w:r>
        <w:t xml:space="preserve">.</w:t>
      </w:r>
      <w:r>
        <w:t xml:space="preserve"> </w:t>
      </w:r>
      <w:r>
        <w:t xml:space="preserve">Institutterne indberetter oplysninger om positionerne i hver valuta (herunder indberetningsvalutaen) og de tilsvarende kapitalgrundlagskrav for valutarisiko opgjort efter standardmetoden.</w:t>
      </w:r>
      <w:r>
        <w:t xml:space="preserve"> </w:t>
      </w:r>
      <w:r>
        <w:t xml:space="preserve">Positionen beregnes for hver valuta (herunder euro), guld og positioner i CIU'er.</w:t>
      </w:r>
    </w:p>
    <w:p w14:paraId="39EF826C" w14:textId="3D244F2F" w:rsidR="000B0B09" w:rsidRPr="004B0EC7" w:rsidRDefault="008F3052" w:rsidP="00660845">
      <w:pPr>
        <w:pStyle w:val="InstructionsText2"/>
        <w:numPr>
          <w:ilvl w:val="0"/>
          <w:numId w:val="0"/>
        </w:numPr>
        <w:ind w:left="993"/>
      </w:pPr>
      <w:r>
        <w:fldChar w:fldCharType="begin" w:dirty="true"/>
      </w:r>
      <w:r>
        <w:instrText>seq paragraphs</w:instrText>
      </w:r>
      <w:r>
        <w:fldChar w:fldCharType="separate"/>
      </w:r>
      <w:r>
        <w:t xml:space="preserve">172</w:t>
      </w:r>
      <w:r>
        <w:fldChar w:fldCharType="end"/>
      </w:r>
      <w:r>
        <w:t xml:space="preserve">.</w:t>
      </w:r>
      <w:r>
        <w:tab/>
      </w:r>
      <w:r>
        <w:t xml:space="preserve"> </w:t>
      </w:r>
      <w:r>
        <w:t xml:space="preserve">Række 0100-0480 i dette skema indberettes, selv om institutter ikke skal beregne kapitalgrundlagskrav for valutarisiko i henhold til artikel 351 i forordning (EU) nr. 575/2013.</w:t>
      </w:r>
      <w:r>
        <w:t xml:space="preserve"> </w:t>
      </w:r>
      <w:r>
        <w:t xml:space="preserve">I disse memorandumposter medtages alle positioner i indberetningsvalutaen, uanset om de tages i betragtning med henblik på artikel 354 i forordning (EU) nr. 575/2013.</w:t>
      </w:r>
      <w:r>
        <w:t xml:space="preserve"> </w:t>
      </w:r>
      <w:r>
        <w:t xml:space="preserve">Række 0130-0480 af memorandumposterne i skemaet udfyldes separat for alle valutaer i EU's medlemsstater, valutaerne: GBP, USD, CHF, JPY, RUB, TRY, AUD, CAD, RSD, ALL, UAH, MKD, EGP, ARS, BRL, MXN, HKD, ICK, TWD, NZD, NOK, SGD, KRW, CNY og alle andre valutaer.</w:t>
      </w:r>
    </w:p>
    <w:p w14:paraId="346B4732" w14:textId="273354B2"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sz w:val="24"/>
          <w:u w:val="none"/>
          <w:rFonts w:ascii="Times New Roman" w:hAnsi="Times New Roman"/>
        </w:rPr>
        <w:t xml:space="preserve">5.5.2.</w:t>
      </w:r>
      <w:r>
        <w:tab/>
      </w:r>
      <w:r>
        <w:rPr>
          <w:sz w:val="24"/>
          <w:rFonts w:ascii="Times New Roman" w:hAnsi="Times New Roman"/>
        </w:rPr>
        <w:t xml:space="preserve">Instrukser vedrørende specifikke positioner</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Kolonner</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0020-0030</w:t>
            </w:r>
          </w:p>
        </w:tc>
        <w:tc>
          <w:tcPr>
            <w:tcW w:w="7874" w:type="dxa"/>
          </w:tcPr>
          <w:p w14:paraId="3450FB8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ALLE POSITIONER (LANGE OG KORTE)</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sz w:val="24"/>
                <w:rFonts w:ascii="Times New Roman" w:hAnsi="Times New Roman"/>
              </w:rPr>
            </w:pPr>
            <w:r>
              <w:rPr>
                <w:sz w:val="24"/>
                <w:rFonts w:ascii="Times New Roman" w:hAnsi="Times New Roman"/>
              </w:rPr>
              <w:t xml:space="preserve">Bruttopositioner som følge af aktiver, tilgodehavender og lignende poster nævnt i artikel 352, stk. 1, i forordning (EU) nr. 575/2013.</w:t>
            </w:r>
          </w:p>
          <w:p w14:paraId="754DB1BB" w14:textId="2FEAA29E" w:rsidR="000B0B09" w:rsidRPr="004B0EC7" w:rsidRDefault="00BB22D4" w:rsidP="00D1690D">
            <w:pPr>
              <w:autoSpaceDE w:val="0"/>
              <w:autoSpaceDN w:val="0"/>
              <w:adjustRightInd w:val="0"/>
              <w:spacing w:before="0" w:after="0"/>
              <w:rPr>
                <w:sz w:val="24"/>
                <w:rFonts w:ascii="Times New Roman" w:hAnsi="Times New Roman"/>
              </w:rPr>
            </w:pPr>
            <w:r>
              <w:rPr>
                <w:sz w:val="24"/>
                <w:rFonts w:ascii="Times New Roman" w:hAnsi="Times New Roman"/>
              </w:rPr>
              <w:t xml:space="preserve">I henhold til artikel 352, stk. 2, i forordning (EU) nr. 575/2013 indberettes de positioner, som et institut har taget for at afdække sin kapitalprocent, jf. artikel 92, stk. 1, i nævnte forordning, mod den negative virkning af valutakursændringer samt positioner, vedrørende poster, der allerede er fratrukket ved beregningen af kapitalgrundlaget, ikke, hvis de kompetente myndigheder har givet tilladelse hertil.</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0040-0050</w:t>
            </w:r>
          </w:p>
        </w:tc>
        <w:tc>
          <w:tcPr>
            <w:tcW w:w="7874" w:type="dxa"/>
          </w:tcPr>
          <w:p w14:paraId="5A21CA5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NETTOPOSITIONER (LANGE OG KORTE)</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sz w:val="24"/>
                <w:rFonts w:ascii="Times New Roman" w:hAnsi="Times New Roman"/>
              </w:rPr>
            </w:pPr>
            <w:r>
              <w:rPr>
                <w:sz w:val="24"/>
                <w:rFonts w:ascii="Times New Roman" w:hAnsi="Times New Roman"/>
              </w:rPr>
              <w:t xml:space="preserve">Artikel 352, stk. 3, artikel 352, stk. 4, første og andet punktum, og artikel 353 i forordning (EU) nr. 575/2013</w:t>
            </w:r>
          </w:p>
          <w:p w14:paraId="1436375E" w14:textId="100DFA36"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Nettopositionerne beregnes i hver valuta i overensstemmelse med artikel 352, stk. 1, i forordning (EU) nr. 575/2013.</w:t>
            </w:r>
            <w:r>
              <w:rPr>
                <w:sz w:val="24"/>
                <w:rFonts w:ascii="Times New Roman" w:hAnsi="Times New Roman"/>
              </w:rPr>
              <w:t xml:space="preserve"> </w:t>
            </w:r>
            <w:r>
              <w:rPr>
                <w:sz w:val="24"/>
                <w:rFonts w:ascii="Times New Roman" w:hAnsi="Times New Roman"/>
              </w:rPr>
              <w:t xml:space="preserve">Derfor kan både lange og korte positioner indberettes på samme tid.</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0060-0080</w:t>
            </w:r>
          </w:p>
        </w:tc>
        <w:tc>
          <w:tcPr>
            <w:tcW w:w="7874" w:type="dxa"/>
          </w:tcPr>
          <w:p w14:paraId="23461A4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POSITIONER UNDERLAGT KAPITALKRAV</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Artikel 352, stk. 4, tredje punktum, og artikel 353 og 354 i forordning (EU) nr. 575/2013</w:t>
            </w:r>
            <w:r>
              <w:rPr>
                <w:sz w:val="24"/>
                <w:rFonts w:ascii="Times New Roman" w:hAnsi="Times New Roman"/>
              </w:rPr>
              <w:t xml:space="preserve">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0060-0070</w:t>
            </w:r>
          </w:p>
        </w:tc>
        <w:tc>
          <w:tcPr>
            <w:tcW w:w="7874" w:type="dxa"/>
          </w:tcPr>
          <w:p w14:paraId="4917443B"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POSITIONER UNDERLAGT KAPITALKRAV (LANGE OG KORTE)</w:t>
            </w:r>
          </w:p>
          <w:p w14:paraId="1CA17503"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De lange og korte nettopositioner for hver valuta beregnes ved at trække de samlede korte positioner fra de samlede lange positioner.</w:t>
            </w:r>
          </w:p>
          <w:p w14:paraId="7912A4F1"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Lange nettopositioner for hver operation i en valuta adderes for at få den lange nettoposition i den pågældende valuta.</w:t>
            </w:r>
          </w:p>
          <w:p w14:paraId="5B4E9BDF"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Korte nettopositioner for hver operation i en valuta adderes for at få den korte nettoposition i den pågældende valuta.</w:t>
            </w:r>
          </w:p>
          <w:p w14:paraId="71BEB09F"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Ikkematchede positioner i ikkeindberetningsvalutaer lægges til positioner underlagt kapitalkrav for andre valutaer (række 030) i kolonne 060 eller 070, afhængigt af om de er korte eller lange.</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74" w:type="dxa"/>
          </w:tcPr>
          <w:p w14:paraId="50779B26"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POSITIONER UNDERLAGT KAPITALKRAV (MATCHEDE)</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Matchede positioner for snævert forbundne valutaer.</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74" w:type="dxa"/>
          </w:tcPr>
          <w:p w14:paraId="4FC12DDA" w14:textId="7F464E56"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KAPITALGRUNDLAGSKRAV FØR ANVENDELSE AF JUSTERINGSFAKTORER</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Kapitalgrundlagskravet for enhver relevant position i overensstemmelse med tredje del, afsnit IV, kapitel 3, i forordning (EU) nr. 575/2013 før anvendelse af justeringsfaktoren, jf. artikel 325, stk. 2, litra b), i nævnte forordning.</w:t>
            </w:r>
            <w:r>
              <w:rPr>
                <w:sz w:val="24"/>
                <w:rFonts w:ascii="Times New Roman" w:hAnsi="Times New Roman"/>
              </w:rPr>
              <w:t xml:space="preserve">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SAMLET RISIKOEKSPONERING</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sz w:val="24"/>
                <w:rFonts w:ascii="Times New Roman" w:hAnsi="Times New Roman"/>
              </w:rPr>
            </w:pPr>
            <w:r>
              <w:rPr>
                <w:sz w:val="24"/>
                <w:rFonts w:ascii="Times New Roman" w:hAnsi="Times New Roman"/>
              </w:rPr>
              <w:t xml:space="preserve">Artikel 92, stk. 4, litra c), i forordning (EU) nr. 575/2013.</w:t>
            </w:r>
          </w:p>
          <w:p w14:paraId="74C1A53D" w14:textId="0F1B212C" w:rsidR="000B0B09" w:rsidRPr="004B0EC7" w:rsidRDefault="000B0B09" w:rsidP="000B0B09">
            <w:pPr>
              <w:tabs>
                <w:tab w:val="left" w:pos="1665"/>
              </w:tabs>
              <w:autoSpaceDE w:val="0"/>
              <w:autoSpaceDN w:val="0"/>
              <w:adjustRightInd w:val="0"/>
              <w:spacing w:before="0" w:after="0"/>
              <w:rPr>
                <w:sz w:val="24"/>
                <w:rFonts w:ascii="Times New Roman" w:hAnsi="Times New Roman"/>
              </w:rPr>
            </w:pPr>
            <w:r>
              <w:rPr>
                <w:sz w:val="24"/>
                <w:rFonts w:ascii="Times New Roman" w:hAnsi="Times New Roman"/>
              </w:rPr>
              <w:t xml:space="preserve">Resultatet af multiplikationen af kapitalgrundlagskravet med 12,5 i overensstemmelse med artikel 92, stk. 6, litra b), i forordning (EU) nr. 575/2013 og med justeringsfaktoren, jf. artikel 325, stk. 2, litra b), i nævnte forordning.</w:t>
            </w:r>
            <w:r>
              <w:rPr>
                <w:sz w:val="24"/>
                <w:rFonts w:ascii="Times New Roman" w:hAnsi="Times New Roman"/>
              </w:rPr>
              <w:t xml:space="preserve">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Rækker</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871" w:type="dxa"/>
          </w:tcPr>
          <w:p w14:paraId="444D3E4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SAMLEDE POSITIONER</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Alle positioner i ikkeindberetningsvalutaer og de positioner i indberetningsvalutaen, der tages i betragtning med henblik på artikel 354 i forordning (EU) nr. 575/2013, samt deres tilsvarende kapitalgrundlagskrav for den valutarisiko, der er omhandlet i artikel 92, stk. 4, litra c), under hensyntagen til artikel 352, stk. 2 og 4, i forordning (EU) nr. 575/2013 (med henblik på omregning til indberetningsvalutaen).</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w:t>
            </w:r>
          </w:p>
        </w:tc>
        <w:tc>
          <w:tcPr>
            <w:tcW w:w="7871" w:type="dxa"/>
          </w:tcPr>
          <w:p w14:paraId="49A2740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SNÆVERT FORBUNDNE VALUTAER</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og deres tilsvarende kapitalgrundlagskrav for snævert forbundne valutaer som omhandlet i artikel 354 i forordning (EU) nr. 575/2013.</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0025</w:t>
            </w:r>
          </w:p>
        </w:tc>
        <w:tc>
          <w:tcPr>
            <w:tcW w:w="7871" w:type="dxa"/>
          </w:tcPr>
          <w:p w14:paraId="596531B8" w14:textId="77777777" w:rsidR="00491F4D" w:rsidRPr="004B0EC7" w:rsidRDefault="00491F4D"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Snævert forbundne valutaer:</w:t>
            </w:r>
            <w:r>
              <w:rPr>
                <w:b/>
                <w:sz w:val="24"/>
                <w:u w:val="single"/>
                <w:rFonts w:ascii="Times New Roman" w:hAnsi="Times New Roman"/>
              </w:rPr>
              <w:t xml:space="preserve"> </w:t>
            </w:r>
            <w:r>
              <w:rPr>
                <w:b/>
                <w:sz w:val="24"/>
                <w:u w:val="single"/>
                <w:i/>
                <w:rFonts w:ascii="Times New Roman" w:hAnsi="Times New Roman"/>
              </w:rPr>
              <w:t xml:space="preserve">heraf</w:t>
            </w:r>
            <w:r>
              <w:rPr>
                <w:b/>
                <w:sz w:val="24"/>
                <w:u w:val="single"/>
                <w:rFonts w:ascii="Times New Roman" w:hAnsi="Times New Roman"/>
              </w:rPr>
              <w:t xml:space="preserve">: indberetningsvaluta</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i indberetningsvalutaen, der bidrager til beregningen af kapitalgrundlagskrav i overensstemmelse med artikel 354 i forordning (EU) nr. 575/2013.</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871" w:type="dxa"/>
          </w:tcPr>
          <w:p w14:paraId="0BAA11C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ALLE ANDRE VALUTAER (herunder CIU'er, der behandles som forskellige valutaer)</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og deres tilsvarende kapitalgrundlagskrav for valutaer omfattet af den generelle procedure, der er omhandlet i artikel 351 og artikel 352, stk. 2 og 4, i forordning (EU) nr. 575/2013.</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bCs/>
                <w:sz w:val="24"/>
                <w:u w:val="single"/>
                <w:rFonts w:ascii="Times New Roman" w:hAnsi="Times New Roman"/>
              </w:rPr>
            </w:pPr>
            <w:r>
              <w:rPr>
                <w:sz w:val="24"/>
                <w:rFonts w:ascii="Times New Roman" w:hAnsi="Times New Roman"/>
              </w:rPr>
              <w:t xml:space="preserve">Indberetning af CIU'er, der behandles som separate valutaer i henhold til artikel 353 i forordning (EU) nr. 575/2013:</w:t>
            </w:r>
          </w:p>
          <w:p w14:paraId="77B7A43F" w14:textId="77777777" w:rsidR="000B0B09" w:rsidRPr="004B0EC7" w:rsidRDefault="000B0B09" w:rsidP="000B0B09">
            <w:pPr>
              <w:autoSpaceDE w:val="0"/>
              <w:autoSpaceDN w:val="0"/>
              <w:adjustRightInd w:val="0"/>
              <w:spacing w:before="0" w:after="0"/>
              <w:rPr>
                <w:bCs/>
                <w:sz w:val="24"/>
                <w:rFonts w:ascii="Times New Roman" w:hAnsi="Times New Roman"/>
              </w:rPr>
            </w:pPr>
            <w:r>
              <w:rPr>
                <w:sz w:val="24"/>
                <w:rFonts w:ascii="Times New Roman" w:hAnsi="Times New Roman"/>
              </w:rPr>
              <w:t xml:space="preserve">CIU'er, der behandles som separate valutaer, kan behandles på to forskellige måder med henblik på at beregne kapitalgrundlagskravene:</w:t>
            </w:r>
          </w:p>
          <w:p w14:paraId="5B250982" w14:textId="77777777" w:rsidR="000B0B09" w:rsidRPr="004B0EC7" w:rsidRDefault="00125707" w:rsidP="0023700C">
            <w:pPr>
              <w:autoSpaceDE w:val="0"/>
              <w:autoSpaceDN w:val="0"/>
              <w:adjustRightInd w:val="0"/>
              <w:spacing w:before="0" w:after="0"/>
              <w:ind w:left="720" w:hanging="360"/>
              <w:rPr>
                <w:bCs/>
                <w:sz w:val="24"/>
                <w:rFonts w:ascii="Times New Roman" w:hAnsi="Times New Roman"/>
              </w:rPr>
            </w:pPr>
            <w:r>
              <w:rPr>
                <w:sz w:val="24"/>
                <w:rFonts w:ascii="Times New Roman" w:hAnsi="Times New Roman"/>
              </w:rPr>
              <w:t xml:space="preserve">1.</w:t>
            </w:r>
            <w:r>
              <w:tab/>
            </w:r>
            <w:r>
              <w:rPr>
                <w:sz w:val="24"/>
                <w:rFonts w:ascii="Times New Roman" w:hAnsi="Times New Roman"/>
              </w:rPr>
              <w:t xml:space="preserve">Den modificerede guldmetode, hvis det ikke vides, om CIU'ernes investeringer er lange eller korte (disse CIU'er lægges til et instituts samlede nettoposition i valutaer).</w:t>
            </w:r>
          </w:p>
          <w:p w14:paraId="36EAAD8C" w14:textId="77777777" w:rsidR="000B0B09" w:rsidRPr="004B0EC7" w:rsidRDefault="00125707" w:rsidP="0023700C">
            <w:pPr>
              <w:autoSpaceDE w:val="0"/>
              <w:autoSpaceDN w:val="0"/>
              <w:adjustRightInd w:val="0"/>
              <w:spacing w:before="0" w:after="0"/>
              <w:ind w:left="720" w:hanging="360"/>
              <w:rPr>
                <w:bCs/>
                <w:sz w:val="24"/>
                <w:rFonts w:ascii="Times New Roman" w:hAnsi="Times New Roman"/>
              </w:rPr>
            </w:pPr>
            <w:r>
              <w:rPr>
                <w:sz w:val="24"/>
                <w:rFonts w:ascii="Times New Roman" w:hAnsi="Times New Roman"/>
              </w:rPr>
              <w:t xml:space="preserve">2.</w:t>
            </w:r>
            <w:r>
              <w:tab/>
            </w:r>
            <w:r>
              <w:rPr>
                <w:sz w:val="24"/>
                <w:rFonts w:ascii="Times New Roman" w:hAnsi="Times New Roman"/>
              </w:rPr>
              <w:t xml:space="preserve">Hvis det vides, om CIU'ens investeringer er lange eller korte, lægges disse CIU'er til den samlede åbne valutaposition (lang eller kort, afhængigt af om CIU'ens investeringer er lange eller korte).</w:t>
            </w:r>
          </w:p>
          <w:p w14:paraId="6410AE39" w14:textId="77777777" w:rsidR="000B0B09" w:rsidRPr="004B0EC7" w:rsidRDefault="000B0B09" w:rsidP="000B0B09">
            <w:pPr>
              <w:autoSpaceDE w:val="0"/>
              <w:autoSpaceDN w:val="0"/>
              <w:adjustRightInd w:val="0"/>
              <w:spacing w:before="0" w:after="0"/>
              <w:rPr>
                <w:bCs/>
                <w:sz w:val="24"/>
                <w:u w:val="single"/>
                <w:rFonts w:ascii="Times New Roman" w:hAnsi="Times New Roman"/>
              </w:rPr>
            </w:pPr>
            <w:r>
              <w:rPr>
                <w:sz w:val="24"/>
                <w:rFonts w:ascii="Times New Roman" w:hAnsi="Times New Roman"/>
              </w:rPr>
              <w:t xml:space="preserve">Indberetningen af disse CIU'er følger beregningen af kapitalgrundlagskravene.</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871" w:type="dxa"/>
          </w:tcPr>
          <w:p w14:paraId="0E1B066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GULD</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og deres tilsvarende kapitalgrundlagskrav for valutaer omfattet af den generelle procedure, der er omhandlet i artikel 351 og artikel 352, stk. 2 og 4, i forordning (EU) nr. 575/2013.</w:t>
            </w:r>
            <w:r>
              <w:rPr>
                <w:sz w:val="24"/>
                <w:rFonts w:ascii="Times New Roman" w:hAnsi="Times New Roman"/>
              </w:rPr>
              <w:t xml:space="preserve">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0050 - 0090</w:t>
            </w:r>
          </w:p>
        </w:tc>
        <w:tc>
          <w:tcPr>
            <w:tcW w:w="7871" w:type="dxa"/>
          </w:tcPr>
          <w:p w14:paraId="76D7671B"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YDERLIGERE KRAV TIL OPTIONER (BORTSET FRA DELTARISICI)</w:t>
            </w:r>
          </w:p>
          <w:p w14:paraId="409B80C0" w14:textId="56A2BE80" w:rsidR="000B0B09" w:rsidRPr="004B0EC7" w:rsidRDefault="000B0B09" w:rsidP="001A0143">
            <w:pPr>
              <w:autoSpaceDE w:val="0"/>
              <w:autoSpaceDN w:val="0"/>
              <w:adjustRightInd w:val="0"/>
              <w:spacing w:after="0"/>
              <w:rPr>
                <w:sz w:val="24"/>
                <w:rFonts w:ascii="Times New Roman" w:hAnsi="Times New Roman"/>
              </w:rPr>
            </w:pPr>
            <w:r>
              <w:rPr>
                <w:sz w:val="24"/>
                <w:rFonts w:ascii="Times New Roman" w:hAnsi="Times New Roman"/>
              </w:rPr>
              <w:t xml:space="preserve">Artikel 352, 5 og 6, i forordning (EU) nr. 575/2013</w:t>
            </w:r>
            <w:r>
              <w:rPr>
                <w:sz w:val="24"/>
                <w:rFonts w:ascii="Times New Roman" w:hAnsi="Times New Roman"/>
              </w:rPr>
              <w:t xml:space="preserve">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De yderligere krav til optioner vedrørende andre risici end deltarisici indberettes opdelt ved hjælp af den metode, der er anvendt til beregningen heraf.</w:t>
            </w:r>
            <w:r>
              <w:rPr>
                <w:sz w:val="24"/>
                <w:rFonts w:ascii="Times New Roman" w:hAnsi="Times New Roman"/>
              </w:rPr>
              <w:t xml:space="preserve">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0100-0120</w:t>
            </w:r>
          </w:p>
        </w:tc>
        <w:tc>
          <w:tcPr>
            <w:tcW w:w="7871" w:type="dxa"/>
          </w:tcPr>
          <w:p w14:paraId="4D32EE9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Opdeling af samlede positioner (herunder indberetningsvaluta) efter eksponeringstype</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De samlede positioner fordeles efter derivater, andre aktiver og passiver og ikkebalanceførte poster.</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871" w:type="dxa"/>
          </w:tcPr>
          <w:p w14:paraId="2B5ED8B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Andre aktiver og passiver end ikkebalanceførte poster og derivater</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der ikke er anført i række 0110 eller 0120, indberettes her.</w:t>
            </w:r>
            <w:r>
              <w:rPr>
                <w:sz w:val="24"/>
                <w:rFonts w:ascii="Times New Roman" w:hAnsi="Times New Roman"/>
              </w:rPr>
              <w:t xml:space="preserve"> </w:t>
            </w:r>
          </w:p>
          <w:p w14:paraId="68474F8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871" w:type="dxa"/>
          </w:tcPr>
          <w:p w14:paraId="2D48760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Ikkebalanceførte poster</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Poster, der er omfattet af artikel 352 i forordning (EU) nr. 575/2013, uanset denomineringsvalutaen, og som er medtaget i bilag I til nævnte forordning, med undtagelse af poster, der er medtaget som værdipapirfinansieringstransaktioner og terminsforretninger, eller som følger af en aftale om netting på tværs af produkter.</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0120</w:t>
            </w:r>
          </w:p>
        </w:tc>
        <w:tc>
          <w:tcPr>
            <w:tcW w:w="7871" w:type="dxa"/>
          </w:tcPr>
          <w:p w14:paraId="56E0717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Derivater</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værdisat i henhold til artikel 352 i forordning (EU) nr. 575/2013.</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0130-0480</w:t>
            </w:r>
          </w:p>
        </w:tc>
        <w:tc>
          <w:tcPr>
            <w:tcW w:w="7871" w:type="dxa"/>
          </w:tcPr>
          <w:p w14:paraId="26286B4C" w14:textId="38433819"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MEMORANDUMPOSTER:</w:t>
            </w:r>
            <w:r>
              <w:rPr>
                <w:b/>
                <w:sz w:val="24"/>
                <w:u w:val="single"/>
                <w:rFonts w:ascii="Times New Roman" w:hAnsi="Times New Roman"/>
              </w:rPr>
              <w:t xml:space="preserve"> </w:t>
            </w:r>
            <w:r>
              <w:rPr>
                <w:b/>
                <w:sz w:val="24"/>
                <w:u w:val="single"/>
                <w:rFonts w:ascii="Times New Roman" w:hAnsi="Times New Roman"/>
              </w:rPr>
              <w:t xml:space="preserve">VALUTAPOSITIONER</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sz w:val="24"/>
                <w:rFonts w:ascii="Times New Roman" w:hAnsi="Times New Roman"/>
              </w:rPr>
            </w:pPr>
            <w:r>
              <w:rPr>
                <w:sz w:val="24"/>
                <w:rFonts w:ascii="Times New Roman" w:hAnsi="Times New Roman"/>
              </w:rPr>
              <w:t xml:space="preserve">Memorandumposterne i skemaet udfyldes separat for alle valutaer i EU's medlemsstater, GBP, USD, CHF, JPY, RUB, TRY, AUD, CAD, RSD, ALL, UAH, MKD, EGP, ARS, BRL, MXN, HKD, ICK, TWD, NZD, NOK, SGD, KRW, CNY og alle andre valutaer.</w:t>
            </w:r>
            <w:r>
              <w:rPr>
                <w:sz w:val="24"/>
                <w:rFonts w:ascii="Times New Roman" w:hAnsi="Times New Roman"/>
              </w:rPr>
              <w:t xml:space="preserve">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sz w:val="24"/>
                <w:rFonts w:ascii="Times New Roman" w:hAnsi="Times New Roman"/>
              </w:rPr>
            </w:pPr>
            <w:r>
              <w:rPr>
                <w:sz w:val="24"/>
                <w:rFonts w:ascii="Times New Roman" w:hAnsi="Times New Roman"/>
              </w:rPr>
              <w:t xml:space="preserve">0470</w:t>
            </w:r>
          </w:p>
        </w:tc>
        <w:tc>
          <w:tcPr>
            <w:tcW w:w="7871" w:type="dxa"/>
          </w:tcPr>
          <w:p w14:paraId="323DC607" w14:textId="77777777" w:rsidR="00DB1114" w:rsidRPr="004B0EC7" w:rsidRDefault="00DB1114" w:rsidP="00E40F04">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Andre</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Positioner i guld og positioner i CIU'er, der behandles som en særskilt valuta i overensstemmelse med artikel 353, stk. 3, i forordning (EU) nr. 575/2013, skal medtages i denne række.</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sz w:val="24"/>
          <w:u w:val="none"/>
          <w:rFonts w:ascii="Times New Roman" w:hAnsi="Times New Roman"/>
        </w:rPr>
        <w:t xml:space="preserve">5.6.</w:t>
      </w:r>
      <w:r>
        <w:tab/>
      </w:r>
      <w:r>
        <w:rPr>
          <w:sz w:val="24"/>
          <w:rFonts w:ascii="Times New Roman" w:hAnsi="Times New Roman"/>
        </w:rPr>
        <w:t xml:space="preserve">C 23.01 – Markedsrisiko:</w:t>
      </w:r>
      <w:r>
        <w:rPr>
          <w:sz w:val="24"/>
          <w:rFonts w:ascii="Times New Roman" w:hAnsi="Times New Roman"/>
        </w:rPr>
        <w:t xml:space="preserve"> </w:t>
      </w:r>
      <w:r>
        <w:rPr>
          <w:sz w:val="24"/>
          <w:rFonts w:ascii="Times New Roman" w:hAnsi="Times New Roman"/>
        </w:rPr>
        <w:t xml:space="preserve">Råvarerisiko opgjort efter den forenklede standardmetode </w:t>
      </w:r>
      <w:bookmarkEnd w:id="124"/>
      <w:bookmarkEnd w:id="125"/>
      <w:bookmarkEnd w:id="126"/>
      <w:bookmarkEnd w:id="127"/>
      <w:bookmarkEnd w:id="128"/>
      <w:r>
        <w:rPr>
          <w:sz w:val="24"/>
          <w:rFonts w:ascii="Times New Roman" w:hAnsi="Times New Roman"/>
        </w:rPr>
        <w:t xml:space="preserve">(MKR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sz w:val="24"/>
          <w:u w:val="none"/>
          <w:rFonts w:ascii="Times New Roman" w:hAnsi="Times New Roman"/>
        </w:rPr>
        <w:t xml:space="preserve">5.6.1.</w:t>
      </w:r>
      <w:r>
        <w:tab/>
      </w:r>
      <w:r>
        <w:rPr>
          <w:sz w:val="24"/>
          <w:rFonts w:ascii="Times New Roman" w:hAnsi="Times New Roman"/>
        </w:rPr>
        <w:t xml:space="preserve">Generelle bemærkninger</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fldChar w:fldCharType="begin" w:dirty="true"/>
      </w:r>
      <w:r>
        <w:instrText>seq paragraphs</w:instrText>
      </w:r>
      <w:r>
        <w:fldChar w:fldCharType="separate"/>
      </w:r>
      <w:r>
        <w:t xml:space="preserve">173</w:t>
      </w:r>
      <w:r>
        <w:fldChar w:fldCharType="end"/>
      </w:r>
      <w:r>
        <w:t xml:space="preserve">.</w:t>
      </w:r>
      <w:r>
        <w:tab/>
      </w:r>
      <w:r>
        <w:t xml:space="preserve"> </w:t>
      </w:r>
      <w:r>
        <w:t xml:space="preserve">I dette skema indberettes der oplysninger om positionerne i råvarer og de tilsvarende kapitalgrundlagskrav opgjort efter standardmetoden.</w:t>
      </w:r>
    </w:p>
    <w:p w14:paraId="0C8765B1" w14:textId="16F4CE7F"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sz w:val="24"/>
          <w:u w:val="none"/>
          <w:rFonts w:ascii="Times New Roman" w:hAnsi="Times New Roman"/>
        </w:rPr>
        <w:t xml:space="preserve">5.6.2.</w:t>
      </w:r>
      <w:r>
        <w:tab/>
      </w:r>
      <w:r>
        <w:rPr>
          <w:sz w:val="24"/>
          <w:rFonts w:ascii="Times New Roman" w:hAnsi="Times New Roman"/>
        </w:rPr>
        <w:t xml:space="preserve">Instrukser vedrørende specifikke positioner</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Kolonner</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6" w:type="dxa"/>
          </w:tcPr>
          <w:p w14:paraId="29C026B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ALLE POSITIONER (LANGE OG KORTE)</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Lange/korte bruttopositioner, der betragtes som positioner i samme råvare i henhold til artikel 357, stk. 4, i forordning (EU) nr. 575/2013 (se også artikel 359, stk. 1, i forordning (EU) nr. 575/2013)</w:t>
            </w:r>
          </w:p>
          <w:p w14:paraId="3E9C7204"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r>
              <w:rPr>
                <w:sz w:val="24"/>
                <w:rFonts w:ascii="Times New Roman" w:hAnsi="Times New Roman"/>
              </w:rPr>
              <w:t xml:space="preserve"> </w:t>
            </w:r>
          </w:p>
        </w:tc>
        <w:tc>
          <w:tcPr>
            <w:tcW w:w="7876" w:type="dxa"/>
          </w:tcPr>
          <w:p w14:paraId="7FA580C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NETTOPOSITIONER (LANGE OG KORTE)</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sz w:val="24"/>
                <w:rFonts w:ascii="Times New Roman" w:hAnsi="Times New Roman"/>
              </w:rPr>
            </w:pPr>
            <w:r>
              <w:rPr>
                <w:sz w:val="24"/>
                <w:rFonts w:ascii="Times New Roman" w:hAnsi="Times New Roman"/>
              </w:rPr>
              <w:t xml:space="preserve">Som defineret i artikel 357, stk. 3, i forordning (EU) nr. 575/2013.</w:t>
            </w:r>
            <w:r>
              <w:rPr>
                <w:sz w:val="24"/>
                <w:rFonts w:ascii="Times New Roman" w:hAnsi="Times New Roman"/>
              </w:rPr>
              <w:t xml:space="preserve">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6" w:type="dxa"/>
          </w:tcPr>
          <w:p w14:paraId="7ADEF1C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POSITIONER UNDERLAGT KAPITALKRAV</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Nettopositioner, som i henhold til de forskellige metoder, der er omhandlet i tredje del, afsnit IV, kapitel 4, i forordning (EU) nr. 575/2013, pålægges et kapitalkrav.</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6" w:type="dxa"/>
          </w:tcPr>
          <w:p w14:paraId="4AA26DC6" w14:textId="579AC514"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KAPITALGRUNDLAGSKRAV FØR ANVENDELSE AF JUSTERINGSFAKTORER</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b/>
                <w:bCs/>
                <w:sz w:val="24"/>
                <w:u w:val="single"/>
                <w:rFonts w:ascii="Times New Roman" w:hAnsi="Times New Roman"/>
              </w:rPr>
            </w:pPr>
            <w:r>
              <w:rPr>
                <w:sz w:val="24"/>
                <w:rFonts w:ascii="Times New Roman" w:hAnsi="Times New Roman"/>
              </w:rPr>
              <w:t xml:space="preserve">Kapitalgrundlagskravet beregnet i overensstemmelse med tredje del, afsnit IV, kapitel 4, i forordning (EU) nr. 575/2013 for enhver relevant position før anvendelse af justeringsfaktoren, jf. artikel 325, stk. 2, i nævnte forordning.</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SAMLET RISIKOEKSPONERING</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sz w:val="24"/>
                <w:rFonts w:ascii="Times New Roman" w:hAnsi="Times New Roman"/>
              </w:rPr>
            </w:pPr>
            <w:r>
              <w:rPr>
                <w:sz w:val="24"/>
                <w:rFonts w:ascii="Times New Roman" w:hAnsi="Times New Roman"/>
              </w:rPr>
              <w:t xml:space="preserve">Artikel 92, stk. 4, litra c), i forordning (EU) nr. 575/2013.</w:t>
            </w:r>
            <w:r>
              <w:rPr>
                <w:sz w:val="24"/>
                <w:rFonts w:ascii="Times New Roman" w:hAnsi="Times New Roman"/>
              </w:rPr>
              <w:t xml:space="preserve"> </w:t>
            </w:r>
          </w:p>
          <w:p w14:paraId="67EADC1A" w14:textId="634950C6" w:rsidR="000B0B09" w:rsidRPr="004B0EC7" w:rsidRDefault="000B0B09" w:rsidP="001A0143">
            <w:pPr>
              <w:tabs>
                <w:tab w:val="left" w:pos="1665"/>
              </w:tabs>
              <w:autoSpaceDE w:val="0"/>
              <w:autoSpaceDN w:val="0"/>
              <w:adjustRightInd w:val="0"/>
              <w:spacing w:before="0"/>
              <w:rPr>
                <w:b/>
                <w:bCs/>
                <w:sz w:val="24"/>
                <w:u w:val="single"/>
                <w:rFonts w:ascii="Times New Roman" w:hAnsi="Times New Roman"/>
              </w:rPr>
            </w:pPr>
            <w:r>
              <w:rPr>
                <w:sz w:val="24"/>
                <w:rFonts w:ascii="Times New Roman" w:hAnsi="Times New Roman"/>
              </w:rPr>
              <w:t xml:space="preserve">Resultatet af multiplikationen af kapitalgrundlagskravet med 12,5 i overensstemmelse med artikel 92, stk. 6, litra b), i forordning (EU) nr. 575/2013 og med justeringsfaktoren, jf. artikel 325, stk. 2, litra c), i nævnte forordning.</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Rækker</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875" w:type="dxa"/>
          </w:tcPr>
          <w:p w14:paraId="3CC5979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SAMLEDE POSITIONER I RÅVARER</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sz w:val="24"/>
                <w:rFonts w:ascii="Times New Roman" w:hAnsi="Times New Roman"/>
              </w:rPr>
            </w:pPr>
            <w:r>
              <w:rPr>
                <w:sz w:val="24"/>
                <w:rFonts w:ascii="Times New Roman" w:hAnsi="Times New Roman"/>
              </w:rPr>
              <w:t xml:space="preserve">Positioner i råvarer og deres tilsvarende kapitalgrundlagskrav for markedsrisiko beregnet i overensstemmelse med artikel 92, stk. 4, litra c), i forordning (EU) nr. 575/2013 og tredje del, afsnit IV, kapitel 4, i nævnte forordning.</w:t>
            </w:r>
            <w:r>
              <w:rPr>
                <w:sz w:val="24"/>
                <w:rFonts w:ascii="Times New Roman" w:hAnsi="Times New Roman"/>
              </w:rPr>
              <w:t xml:space="preserve">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0020-0060</w:t>
            </w:r>
          </w:p>
        </w:tc>
        <w:tc>
          <w:tcPr>
            <w:tcW w:w="7875" w:type="dxa"/>
          </w:tcPr>
          <w:p w14:paraId="759E579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POSITIONER EFTER RÅVAREKATEGORI</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I forbindelse med indberetning er råvarer inddelt i fire råvaregrupper som vist i artikel 361, tabel 2, i forordning (EU) nr. 575/2013.</w:t>
            </w:r>
          </w:p>
          <w:p w14:paraId="04BB5316"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5" w:type="dxa"/>
          </w:tcPr>
          <w:p w14:paraId="5AACA5E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LØBETIDSMETODE</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i råvarer, der er omfattet af løbetidsmetoden omhandlet i artikel 359 i forordning (EU) nr. 575/2013</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75" w:type="dxa"/>
          </w:tcPr>
          <w:p w14:paraId="7D3D047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UDVIDET LØBETIDSMETODE</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i råvarer, der er omfattet af den udvidede løbetidsmetode omhandlet i artikel 361 i forordning (EU) nr. 575/2013</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75" w:type="dxa"/>
          </w:tcPr>
          <w:p w14:paraId="5AEA8FE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FORENKLET METODE</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i råvarer, der er omfattet af den forenklede metode omhandlet i artikel 360 i forordning (EU) nr. 575/2013</w:t>
            </w:r>
            <w:r>
              <w:rPr>
                <w:sz w:val="24"/>
                <w:rFonts w:ascii="Times New Roman" w:hAnsi="Times New Roman"/>
              </w:rPr>
              <w:t xml:space="preserve">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0100-0140</w:t>
            </w:r>
          </w:p>
        </w:tc>
        <w:tc>
          <w:tcPr>
            <w:tcW w:w="7875" w:type="dxa"/>
          </w:tcPr>
          <w:p w14:paraId="1AB2469B"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YDERLIGERE KRAV TIL OPTIONER (BORTSET FRA DELTARISICI)</w:t>
            </w:r>
          </w:p>
          <w:p w14:paraId="444B7110" w14:textId="08585130" w:rsidR="000B0B09" w:rsidRPr="004B0EC7" w:rsidRDefault="000B0B09" w:rsidP="001A0143">
            <w:pPr>
              <w:autoSpaceDE w:val="0"/>
              <w:autoSpaceDN w:val="0"/>
              <w:adjustRightInd w:val="0"/>
              <w:rPr>
                <w:sz w:val="24"/>
                <w:rFonts w:ascii="Times New Roman" w:hAnsi="Times New Roman"/>
              </w:rPr>
            </w:pPr>
            <w:r>
              <w:rPr>
                <w:sz w:val="24"/>
                <w:rFonts w:ascii="Times New Roman" w:hAnsi="Times New Roman"/>
              </w:rPr>
              <w:t xml:space="preserve">Artikel 358, stk. 4, i forordning (EU) nr. 575/2013</w:t>
            </w:r>
            <w:r>
              <w:rPr>
                <w:sz w:val="24"/>
                <w:rFonts w:ascii="Times New Roman" w:hAnsi="Times New Roman"/>
              </w:rPr>
              <w:t xml:space="preserve"> </w:t>
            </w:r>
          </w:p>
          <w:p w14:paraId="1D3D5AF7"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De yderligere krav til optioner vedrørende andre risici end deltarisici indberettes ved hjælp af den metode, der er anvendt til beregningen heraf.</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sz w:val="24"/>
          <w:rFonts w:ascii="Times New Roman" w:hAnsi="Times New Roman"/>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sz w:val="24"/>
          <w:u w:val="none"/>
          <w:rFonts w:ascii="Times New Roman" w:hAnsi="Times New Roman"/>
        </w:rPr>
        <w:t xml:space="preserve">5.7.</w:t>
      </w:r>
      <w:r>
        <w:tab/>
      </w:r>
      <w:r>
        <w:rPr>
          <w:sz w:val="24"/>
          <w:rFonts w:ascii="Times New Roman" w:hAnsi="Times New Roman"/>
        </w:rPr>
        <w:t xml:space="preserve">C 24.00 - Markedsrisiko opgjort efter den interne model</w:t>
      </w:r>
      <w:bookmarkEnd w:id="145"/>
      <w:bookmarkEnd w:id="146"/>
      <w:bookmarkEnd w:id="147"/>
      <w:bookmarkEnd w:id="148"/>
      <w:bookmarkEnd w:id="149"/>
      <w:r>
        <w:rPr>
          <w:sz w:val="24"/>
          <w:rFonts w:ascii="Times New Roman" w:hAnsi="Times New Roman"/>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sz w:val="24"/>
          <w:u w:val="none"/>
          <w:rFonts w:ascii="Times New Roman" w:hAnsi="Times New Roman"/>
        </w:rPr>
        <w:t xml:space="preserve">5.7.1.</w:t>
      </w:r>
      <w:r>
        <w:tab/>
      </w:r>
      <w:r>
        <w:rPr>
          <w:sz w:val="24"/>
          <w:rFonts w:ascii="Times New Roman" w:hAnsi="Times New Roman"/>
        </w:rPr>
        <w:t xml:space="preserve">Generelle bemærkninger</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fldChar w:fldCharType="begin" w:dirty="true"/>
      </w:r>
      <w:r>
        <w:instrText xml:space="preserve"> seq paragraphs </w:instrText>
      </w:r>
      <w:r>
        <w:fldChar w:fldCharType="separate"/>
      </w:r>
      <w:r>
        <w:t xml:space="preserve">174</w:t>
      </w:r>
      <w:r>
        <w:fldChar w:fldCharType="end"/>
      </w:r>
      <w:r>
        <w:t xml:space="preserve">.</w:t>
      </w:r>
      <w:r>
        <w:tab/>
      </w:r>
      <w:r>
        <w:t xml:space="preserve"> </w:t>
      </w:r>
      <w:r>
        <w:t xml:space="preserve">I dette skema gives der en opdeling af tallene for value-at-risk (VaR) og value-at-risk i stresssituationer (sVaR) efter markedsrisiko (gæld, aktier, valuta og råvare) og andre oplysninger, der er relevante for beregningen af kapitalgrundlagskravene.</w:t>
      </w:r>
    </w:p>
    <w:p w14:paraId="3DD1046B" w14:textId="4AD05ACF" w:rsidR="000B0B09" w:rsidRPr="004B0EC7" w:rsidRDefault="00CE7221" w:rsidP="00660845">
      <w:pPr>
        <w:pStyle w:val="InstructionsText2"/>
        <w:numPr>
          <w:ilvl w:val="0"/>
          <w:numId w:val="0"/>
        </w:numPr>
        <w:ind w:left="993"/>
      </w:pPr>
      <w:r>
        <w:fldChar w:fldCharType="begin" w:dirty="true"/>
      </w:r>
      <w:r>
        <w:instrText xml:space="preserve"> seq paragraphs </w:instrText>
      </w:r>
      <w:r>
        <w:fldChar w:fldCharType="separate"/>
      </w:r>
      <w:r>
        <w:t xml:space="preserve">175</w:t>
      </w:r>
      <w:r>
        <w:fldChar w:fldCharType="end"/>
      </w:r>
      <w:r>
        <w:t xml:space="preserve">.</w:t>
      </w:r>
      <w:r>
        <w:tab/>
      </w:r>
      <w:r>
        <w:t xml:space="preserve"> </w:t>
      </w:r>
      <w:r>
        <w:t xml:space="preserve">Generelt afhænger det af strukturen af den model, som institutterne anvender, om tallene for generel og specifik risiko kan bestemmes og indberettes separat eller kun samlet.</w:t>
      </w:r>
      <w:r>
        <w:t xml:space="preserve"> </w:t>
      </w:r>
      <w:r>
        <w:t xml:space="preserve">Det samme gælder for opdelingen af VaR/sVaR i risikokategorier (renterisiko, aktierisiko, råvarerisiko og valutarisiko).</w:t>
      </w:r>
      <w:r>
        <w:t xml:space="preserve"> </w:t>
      </w:r>
      <w:r>
        <w:t xml:space="preserve">Et institut kan undlade at indberette disse opdelinger, hvis det dokumenterer, at indberetningen af disse tal pålægger det en uforholdsmæssig arbejdsbyrde.</w:t>
      </w:r>
      <w:r>
        <w:t xml:space="preserve"> </w:t>
      </w:r>
    </w:p>
    <w:p w14:paraId="16A354D7" w14:textId="38B85B55"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sz w:val="24"/>
          <w:u w:val="none"/>
          <w:rFonts w:ascii="Times New Roman" w:hAnsi="Times New Roman"/>
        </w:rPr>
        <w:t xml:space="preserve">5.7.2.</w:t>
      </w:r>
      <w:r>
        <w:tab/>
      </w:r>
      <w:r>
        <w:rPr>
          <w:sz w:val="24"/>
          <w:rFonts w:ascii="Times New Roman" w:hAnsi="Times New Roman"/>
        </w:rPr>
        <w:t xml:space="preserve">Instrukser vedrørende specifikke positioner</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Kolonner</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869" w:type="dxa"/>
          </w:tcPr>
          <w:p w14:paraId="6F9C4B0E" w14:textId="77777777" w:rsidR="000B0B09" w:rsidRPr="004B0EC7" w:rsidRDefault="0016282F"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Value at Risk (VaR)</w:t>
            </w:r>
          </w:p>
          <w:p w14:paraId="59F85AD6" w14:textId="77777777" w:rsidR="000B0B09" w:rsidRPr="004B0EC7" w:rsidRDefault="0016282F" w:rsidP="002300C6">
            <w:pPr>
              <w:autoSpaceDE w:val="0"/>
              <w:autoSpaceDN w:val="0"/>
              <w:adjustRightInd w:val="0"/>
              <w:rPr>
                <w:b/>
                <w:bCs/>
                <w:sz w:val="24"/>
                <w:u w:val="single"/>
                <w:rFonts w:ascii="Times New Roman" w:hAnsi="Times New Roman"/>
              </w:rPr>
            </w:pPr>
            <w:r>
              <w:rPr>
                <w:sz w:val="24"/>
                <w:rFonts w:ascii="Times New Roman" w:hAnsi="Times New Roman"/>
              </w:rPr>
              <w:t xml:space="preserve">VaR er det maksimale potentielle tab, der kan opstå som følge af en prisændring med en given sandsynlighed inden for en specifik tidshorisont.</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869" w:type="dxa"/>
          </w:tcPr>
          <w:p w14:paraId="3867D5D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Multiplikationsfaktor (mc) x Gennemsnit af VaR for de foregående 60 arbejdsdage (VaRavg)</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sz w:val="24"/>
                <w:rFonts w:ascii="Times New Roman" w:hAnsi="Times New Roman"/>
              </w:rPr>
            </w:pPr>
            <w:r>
              <w:rPr>
                <w:sz w:val="24"/>
                <w:rFonts w:ascii="Times New Roman" w:hAnsi="Times New Roman"/>
              </w:rPr>
              <w:t xml:space="preserve"> </w:t>
            </w:r>
            <w:r>
              <w:rPr>
                <w:sz w:val="24"/>
                <w:rFonts w:ascii="Times New Roman" w:hAnsi="Times New Roman"/>
              </w:rPr>
              <w:t xml:space="preserve">Artikel 364, stk. 1, litra a), nr. ii), og artikel 365, stk. 1, i forordning (EU) nr. 575/2013</w:t>
            </w:r>
            <w:r>
              <w:rPr>
                <w:sz w:val="24"/>
                <w:rFonts w:ascii="Times New Roman" w:hAnsi="Times New Roman"/>
              </w:rPr>
              <w:t xml:space="preserve">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869" w:type="dxa"/>
          </w:tcPr>
          <w:p w14:paraId="15C0D51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Den foregående dags VaR (VaRt-1)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Artikel 364, stk. 1, litra a), nr. i), og artikel 365, stk. 1, i forordning (EU) nr. 575/2013</w:t>
            </w:r>
            <w:r>
              <w:rPr>
                <w:sz w:val="24"/>
                <w:rFonts w:ascii="Times New Roman" w:hAnsi="Times New Roman"/>
              </w:rPr>
              <w:t xml:space="preserve">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0050-0060</w:t>
            </w:r>
          </w:p>
        </w:tc>
        <w:tc>
          <w:tcPr>
            <w:tcW w:w="7869" w:type="dxa"/>
          </w:tcPr>
          <w:p w14:paraId="388A6872"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VaR i stresssituationer</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sz w:val="24"/>
                <w:rFonts w:ascii="Times New Roman" w:hAnsi="Times New Roman"/>
              </w:rPr>
            </w:pPr>
            <w:r>
              <w:rPr>
                <w:sz w:val="24"/>
                <w:rFonts w:ascii="Times New Roman" w:hAnsi="Times New Roman"/>
              </w:rPr>
              <w:t xml:space="preserve">VaR i stresssituationer er det maksimale potentielle tab, der kan opstå som følge af en prisændring med en given sandsynlighed inden for en specifik tidshorisont, hvor input kalibreres efter historiske data fra en sammenhængende 12-månedersperiode med signifikant finansiel stress, som er relevant for instituttets portefølje.</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69" w:type="dxa"/>
          </w:tcPr>
          <w:p w14:paraId="3CDD7B3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Multiplikationsfaktor (ms) x Gennemsnit for de foregående 60 arbejdsdage (SVaRavg)</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b w:val="0"/>
                <w:bCs w:val="0"/>
                <w:sz w:val="24"/>
                <w:rFonts w:ascii="Times New Roman" w:hAnsi="Times New Roman"/>
              </w:rPr>
            </w:pPr>
            <w:r>
              <w:rPr>
                <w:sz w:val="24"/>
                <w:rFonts w:ascii="Times New Roman" w:hAnsi="Times New Roman"/>
              </w:rPr>
              <w:t xml:space="preserve">Artikel 364, stk. 1, litra b), nr. ii), og artikel 365, stk. 1, i forordning (EU) nr. 575/2013</w:t>
            </w:r>
            <w:r>
              <w:rPr>
                <w:sz w:val="24"/>
                <w:rStyle w:val="InstructionsTabelleberschrift"/>
                <w:rFonts w:ascii="Times New Roman" w:hAnsi="Times New Roman"/>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69" w:type="dxa"/>
          </w:tcPr>
          <w:p w14:paraId="6934BA2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Den seneste tilgængelige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Artikel 364, stk. 1, litra b), nr. i), og artikel 365, stk. 1, i forordning (EU) nr. 575/2013</w:t>
            </w:r>
            <w:r>
              <w:rPr>
                <w:sz w:val="24"/>
                <w:rFonts w:ascii="Times New Roman" w:hAnsi="Times New Roman"/>
              </w:rPr>
              <w:t xml:space="preserve">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0070-0080</w:t>
            </w:r>
          </w:p>
        </w:tc>
        <w:tc>
          <w:tcPr>
            <w:tcW w:w="7869" w:type="dxa"/>
          </w:tcPr>
          <w:p w14:paraId="260164A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KAPITALKRAV FOR FORØGET MISLIGHOLDELSES- OG MIGRERINGSRISIKO</w:t>
            </w:r>
          </w:p>
          <w:p w14:paraId="1E7EA146" w14:textId="62573725" w:rsidR="000B0B09" w:rsidRPr="004B0EC7" w:rsidRDefault="0016282F" w:rsidP="001B17E6">
            <w:pPr>
              <w:rPr>
                <w:b/>
                <w:bCs/>
                <w:sz w:val="24"/>
                <w:u w:val="single"/>
                <w:rFonts w:ascii="Times New Roman" w:hAnsi="Times New Roman"/>
              </w:rPr>
            </w:pPr>
            <w:r>
              <w:rPr>
                <w:sz w:val="24"/>
                <w:rFonts w:ascii="Times New Roman" w:hAnsi="Times New Roman"/>
              </w:rPr>
              <w:t xml:space="preserve">Kapitalkrav for forøget misligholdelses- og migreringsrisiko er det maksimale potentielle tab, der kan opstå som følge af en prisændring knyttet til misligholdelses- og migreringsrisici beregnet i overensstemmelse med artikel 364, stk. 2, litra b), sammenholdt med tredje del, afsnit IV, kapitel 5, afdeling 4, i forordning (EU) nr. 575/2013.</w:t>
            </w:r>
            <w:r>
              <w:rPr>
                <w:sz w:val="24"/>
                <w:rFonts w:ascii="Times New Roman" w:hAnsi="Times New Roman"/>
              </w:rPr>
              <w:t xml:space="preserve">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69" w:type="dxa"/>
          </w:tcPr>
          <w:p w14:paraId="5E1133B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Gennemsnittet af tallet over 12 uger</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Artikel 364, stk. 2, litra b), nr. ii), sammenholdt med tredje del, afsnit IV, kapitel 5, afdeling 4, i forordning (EU) nr. 575/2013</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69" w:type="dxa"/>
          </w:tcPr>
          <w:p w14:paraId="270A52C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Seneste tal</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Artikel 364, stk. 2, litra b), nr. i), sammenholdt med tredje del, afsnit IV, kapitel 5, afdeling 4, i forordning (EU) nr. 575/2013</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0090-0110</w:t>
            </w:r>
          </w:p>
        </w:tc>
        <w:tc>
          <w:tcPr>
            <w:tcW w:w="7869" w:type="dxa"/>
          </w:tcPr>
          <w:p w14:paraId="3A49421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ALLE PRISRISICI, KAPITALKRAV FOR CTP</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69" w:type="dxa"/>
          </w:tcPr>
          <w:p w14:paraId="36F8F7A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BUNDVÆRDI</w:t>
            </w:r>
          </w:p>
          <w:p w14:paraId="08424932" w14:textId="6F00A60B" w:rsidR="000B0B09" w:rsidRPr="004B0EC7" w:rsidRDefault="000B0B09" w:rsidP="000B0B09">
            <w:pPr>
              <w:rPr>
                <w:sz w:val="24"/>
                <w:rFonts w:ascii="Times New Roman" w:hAnsi="Times New Roman"/>
              </w:rPr>
            </w:pPr>
            <w:r>
              <w:rPr>
                <w:sz w:val="24"/>
                <w:rFonts w:ascii="Times New Roman" w:hAnsi="Times New Roman"/>
              </w:rPr>
              <w:t xml:space="preserve">Artikel 364, stk. 3, litra c), i forordning (EU) nr. 575/2013</w:t>
            </w:r>
          </w:p>
          <w:p w14:paraId="71FEB01E" w14:textId="7D0B9236" w:rsidR="000B0B09" w:rsidRPr="004B0EC7" w:rsidRDefault="000B0B09" w:rsidP="000B0B09">
            <w:pPr>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8 % af det kapitalgrundlagskrav, der beregnes i overensstemmelse med forordningens artikel 338, stk. 1, i forordning (EU) nr. 575/2013 for alle positioner i kapitalkravet "alle prisrisici".</w:t>
            </w:r>
            <w:r>
              <w:rPr>
                <w:sz w:val="24"/>
                <w:b/>
                <w:u w:val="single"/>
                <w:rFonts w:ascii="Times New Roman" w:hAnsi="Times New Roman"/>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0100-0110</w:t>
            </w:r>
          </w:p>
        </w:tc>
        <w:tc>
          <w:tcPr>
            <w:tcW w:w="7869" w:type="dxa"/>
          </w:tcPr>
          <w:p w14:paraId="60E09F6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GENNEMSNITTET OVER 12 UGER OG SENESTE TAL</w:t>
            </w:r>
          </w:p>
          <w:p w14:paraId="244F0E2D" w14:textId="75367C4C" w:rsidR="000B0B09" w:rsidRPr="004B0EC7" w:rsidRDefault="00587E96" w:rsidP="0016282F">
            <w:pPr>
              <w:autoSpaceDE w:val="0"/>
              <w:autoSpaceDN w:val="0"/>
              <w:adjustRightInd w:val="0"/>
              <w:spacing w:after="0"/>
              <w:rPr>
                <w:bCs/>
                <w:sz w:val="24"/>
                <w:rFonts w:ascii="Times New Roman" w:hAnsi="Times New Roman"/>
              </w:rPr>
            </w:pPr>
            <w:r>
              <w:rPr>
                <w:sz w:val="24"/>
                <w:rFonts w:ascii="Times New Roman" w:hAnsi="Times New Roman"/>
              </w:rPr>
              <w:t xml:space="preserve">Artikel 364, stk. 3, litra b), i forordning (EU) nr. 575/2013</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869" w:type="dxa"/>
          </w:tcPr>
          <w:p w14:paraId="07581252" w14:textId="77777777" w:rsidR="000B0B09" w:rsidRPr="004B0EC7" w:rsidRDefault="000B0B09" w:rsidP="0016282F">
            <w:pPr>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SENESTE TAL</w:t>
            </w:r>
          </w:p>
          <w:p w14:paraId="58C3865D" w14:textId="7EBBD50E" w:rsidR="005C14B0" w:rsidRPr="004B0EC7" w:rsidRDefault="00587E96" w:rsidP="000B0B09">
            <w:pPr>
              <w:autoSpaceDE w:val="0"/>
              <w:autoSpaceDN w:val="0"/>
              <w:adjustRightInd w:val="0"/>
              <w:spacing w:before="0" w:after="0"/>
              <w:rPr>
                <w:bCs/>
                <w:sz w:val="24"/>
                <w:rFonts w:ascii="Times New Roman" w:hAnsi="Times New Roman"/>
              </w:rPr>
            </w:pPr>
            <w:r>
              <w:rPr>
                <w:sz w:val="24"/>
                <w:rFonts w:ascii="Times New Roman" w:hAnsi="Times New Roman"/>
              </w:rPr>
              <w:t xml:space="preserve">Artikel 364, stk. 3, litra a), i forordning (EU) nr. 575/2013</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0120</w:t>
            </w:r>
          </w:p>
        </w:tc>
        <w:tc>
          <w:tcPr>
            <w:tcW w:w="7869" w:type="dxa"/>
          </w:tcPr>
          <w:p w14:paraId="5E5800C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KAPITALGRUNDLAGSKRAV</w:t>
            </w:r>
          </w:p>
          <w:p w14:paraId="7122FC14" w14:textId="52CC637D" w:rsidR="000B0B09" w:rsidRPr="004B0EC7" w:rsidRDefault="00BE0363" w:rsidP="0016282F">
            <w:pPr>
              <w:autoSpaceDE w:val="0"/>
              <w:autoSpaceDN w:val="0"/>
              <w:adjustRightInd w:val="0"/>
              <w:rPr>
                <w:b/>
                <w:bCs/>
                <w:sz w:val="24"/>
                <w:u w:val="single"/>
                <w:rFonts w:ascii="Times New Roman" w:hAnsi="Times New Roman"/>
              </w:rPr>
            </w:pPr>
            <w:r>
              <w:rPr>
                <w:sz w:val="24"/>
                <w:rFonts w:ascii="Times New Roman" w:hAnsi="Times New Roman"/>
              </w:rPr>
              <w:t xml:space="preserve">Kapitalgrundlagskrav som omhandlet i artikel 364 i forordning (EU) nr. 575/2013 for alle risikofaktorer under hensyntagen til evt. korrelationsvirkninger plus forøget misligholdelses- og migreringsrisiko og alle prisrisici for korrelationshandelsporteføljen, men eksklusive securitiseringskapitalkravet for securitiserings- og "nth to default"-kreditderivater i henhold til artikel 364, stk. 2, i forordning (EU) nr. 575/2013</w:t>
            </w:r>
            <w:r>
              <w:rPr>
                <w:sz w:val="24"/>
                <w:rFonts w:ascii="Times New Roman" w:hAnsi="Times New Roman"/>
              </w:rPr>
              <w:t xml:space="preserve">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0130</w:t>
            </w:r>
          </w:p>
        </w:tc>
        <w:tc>
          <w:tcPr>
            <w:tcW w:w="7869" w:type="dxa"/>
          </w:tcPr>
          <w:p w14:paraId="5970507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SAMLET RISIKOEKSPONERING</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Artikel 92, stk. 7, litra b), i forordning (EU) nr. 575/2013.</w:t>
            </w:r>
            <w:r>
              <w:rPr>
                <w:sz w:val="24"/>
                <w:rFonts w:ascii="Times New Roman" w:hAnsi="Times New Roman"/>
              </w:rPr>
              <w:t xml:space="preserve"> </w:t>
            </w:r>
          </w:p>
          <w:p w14:paraId="6FD933BD"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Resultatet af multiplikationen af kapitalgrundlagskravet med 12,5.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0140</w:t>
            </w:r>
          </w:p>
        </w:tc>
        <w:tc>
          <w:tcPr>
            <w:tcW w:w="7869" w:type="dxa"/>
          </w:tcPr>
          <w:p w14:paraId="1C66A419" w14:textId="77777777" w:rsidR="000B0B09" w:rsidRPr="004B0EC7" w:rsidRDefault="000B0B09" w:rsidP="0016282F">
            <w:pPr>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Antal overskridelser for de seneste 250 arbejdsdage</w:t>
            </w:r>
          </w:p>
          <w:p w14:paraId="28B225BB" w14:textId="3D65F9F7" w:rsidR="00A92CFF" w:rsidRPr="004B0EC7" w:rsidRDefault="000B0B09" w:rsidP="0016282F">
            <w:pPr>
              <w:autoSpaceDE w:val="0"/>
              <w:autoSpaceDN w:val="0"/>
              <w:adjustRightInd w:val="0"/>
              <w:spacing w:before="0"/>
              <w:rPr>
                <w:sz w:val="24"/>
                <w:rFonts w:ascii="Times New Roman" w:hAnsi="Times New Roman"/>
              </w:rPr>
            </w:pPr>
            <w:r>
              <w:rPr>
                <w:sz w:val="24"/>
                <w:rFonts w:ascii="Times New Roman" w:hAnsi="Times New Roman"/>
              </w:rPr>
              <w:t xml:space="preserve">Artikel 366 i forordning (EU) nr. 575/2013</w:t>
            </w:r>
          </w:p>
          <w:p w14:paraId="555E37D2" w14:textId="0C3340E4" w:rsidR="000B0B09" w:rsidRPr="004B0EC7" w:rsidRDefault="00A92CFF" w:rsidP="0016282F">
            <w:pPr>
              <w:autoSpaceDE w:val="0"/>
              <w:autoSpaceDN w:val="0"/>
              <w:adjustRightInd w:val="0"/>
              <w:spacing w:before="0"/>
              <w:rPr>
                <w:b/>
                <w:bCs/>
                <w:sz w:val="24"/>
                <w:u w:val="single"/>
                <w:rFonts w:ascii="Times New Roman" w:hAnsi="Times New Roman"/>
              </w:rPr>
            </w:pPr>
            <w:r>
              <w:rPr>
                <w:sz w:val="24"/>
                <w:rFonts w:ascii="Times New Roman" w:hAnsi="Times New Roman"/>
              </w:rPr>
              <w:t xml:space="preserve">Antallet af overskridelser, på grundlag af hvilke plusfaktoren bestemmes.</w:t>
            </w:r>
            <w:r>
              <w:rPr>
                <w:sz w:val="24"/>
                <w:rFonts w:ascii="Times New Roman" w:hAnsi="Times New Roman"/>
              </w:rPr>
              <w:t xml:space="preserve"> </w:t>
            </w:r>
            <w:r>
              <w:rPr>
                <w:sz w:val="24"/>
                <w:rFonts w:ascii="Times New Roman" w:hAnsi="Times New Roman"/>
              </w:rPr>
              <w:t xml:space="preserve">Hvis institutterne har tilladelse til at udelukke visse overskridelser fra beregningen af plusfaktoren i overensstemmelse med artikel 500c i forordning (EU) nr. 575/2013, angives antallet af overskridelser, der er indberettet i denne kolonne.</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0150-0160</w:t>
            </w:r>
          </w:p>
        </w:tc>
        <w:tc>
          <w:tcPr>
            <w:tcW w:w="7869" w:type="dxa"/>
          </w:tcPr>
          <w:p w14:paraId="410D2BF2" w14:textId="77777777" w:rsidR="000B0B09" w:rsidRPr="004B0EC7" w:rsidRDefault="000B0B09" w:rsidP="0016282F">
            <w:pPr>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VaR-multiplikationsfaktor (mc) og SVaR-multiplikationsfaktor (ms)</w:t>
            </w:r>
          </w:p>
          <w:p w14:paraId="315BC479" w14:textId="254D1B3C" w:rsidR="005C14B0" w:rsidRPr="004B0EC7" w:rsidRDefault="000B0B09" w:rsidP="006418A0">
            <w:pPr>
              <w:autoSpaceDE w:val="0"/>
              <w:autoSpaceDN w:val="0"/>
              <w:adjustRightInd w:val="0"/>
              <w:spacing w:before="0"/>
              <w:rPr>
                <w:sz w:val="24"/>
                <w:rFonts w:ascii="Times New Roman" w:hAnsi="Times New Roman"/>
              </w:rPr>
            </w:pPr>
            <w:r>
              <w:rPr>
                <w:sz w:val="24"/>
                <w:rFonts w:ascii="Times New Roman" w:hAnsi="Times New Roman"/>
              </w:rPr>
              <w:t xml:space="preserve">Artikel 366 i forordning (EU) nr. 575/2013</w:t>
            </w:r>
          </w:p>
          <w:p w14:paraId="288D1C77" w14:textId="1A1A8D50" w:rsidR="00011AFA" w:rsidRPr="004B0EC7" w:rsidRDefault="00011AFA">
            <w:pPr>
              <w:autoSpaceDE w:val="0"/>
              <w:autoSpaceDN w:val="0"/>
              <w:adjustRightInd w:val="0"/>
              <w:spacing w:before="0" w:after="0"/>
              <w:rPr>
                <w:rStyle w:val="InstructionsTabelleberschrift"/>
              </w:rPr>
            </w:pPr>
            <w:r>
              <w:rPr>
                <w:sz w:val="24"/>
                <w:rFonts w:ascii="Times New Roman" w:hAnsi="Times New Roman"/>
              </w:rPr>
              <w:t xml:space="preserve">De multiplikationsfaktorer, der faktisk anvendes ved beregningen af kapitalgrundlagskravene, indberettes, i givet fald efter anvendelse af artikel 500c i forordning (EU) nr. 575/2013.</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0170-0180</w:t>
            </w:r>
          </w:p>
        </w:tc>
        <w:tc>
          <w:tcPr>
            <w:tcW w:w="7869" w:type="dxa"/>
          </w:tcPr>
          <w:p w14:paraId="5B3A5B3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ANTAGET KAPITALKRAV FOR CTP-BUNDVÆRDI — VÆGTEDE LANGE/KORTE NETTOPOSITIONER EFTER LOFT</w:t>
            </w:r>
          </w:p>
          <w:p w14:paraId="68C956BE" w14:textId="3FF52305" w:rsidR="00902EFC" w:rsidRPr="004B0EC7" w:rsidRDefault="000B0B09" w:rsidP="00587E96">
            <w:pPr>
              <w:autoSpaceDE w:val="0"/>
              <w:autoSpaceDN w:val="0"/>
              <w:adjustRightInd w:val="0"/>
              <w:rPr>
                <w:rStyle w:val="InstructionsTabelleberschrift"/>
                <w:sz w:val="24"/>
                <w:rFonts w:ascii="Times New Roman" w:hAnsi="Times New Roman"/>
              </w:rPr>
            </w:pPr>
            <w:r>
              <w:rPr>
                <w:sz w:val="24"/>
                <w:rFonts w:ascii="Times New Roman" w:hAnsi="Times New Roman"/>
              </w:rPr>
              <w:t xml:space="preserve">Det beløb, der indberettes, og som udgør grundlaget for beregningen af det mindste kapitalkrav for alle prisrisici, jf. artikel 364, stk. 3, litra c), i forordning (EU) nr. 575/2013, tager højde for skønnet i artikel 335 i nævnte forordning, der giver et institut mulighed for at begrænse vægten og nettopositionen til det højest mulige tab forbundet med misligholdelsesrisikoen.</w:t>
            </w:r>
            <w:r>
              <w:rPr>
                <w:sz w:val="24"/>
                <w:rFonts w:ascii="Times New Roman" w:hAnsi="Times New Roman"/>
              </w:rPr>
              <w:t xml:space="preserve">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Rækker</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903" w:type="dxa"/>
          </w:tcPr>
          <w:p w14:paraId="061D05D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SAMLEDE POSITIONER</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sz w:val="24"/>
                <w:rFonts w:ascii="Times New Roman" w:hAnsi="Times New Roman"/>
              </w:rPr>
            </w:pPr>
            <w:r>
              <w:rPr>
                <w:sz w:val="24"/>
                <w:rFonts w:ascii="Times New Roman" w:hAnsi="Times New Roman"/>
              </w:rPr>
              <w:t xml:space="preserve">Svarer til den del af positions-, valuta- og råvarerisiko, der er omhandlet i artikel 363, stk. 1, i forordning (EU) nr. 575/2013 kædet sammen med risikofaktorerne i artikel 367, stk. 2, i nævnte forordning.</w:t>
            </w:r>
          </w:p>
          <w:p w14:paraId="6F18E4FF" w14:textId="77777777" w:rsidR="005C14B0"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Med hensyn til kolonne 0030 til 0060 (VaR og Stress-VAR) er tallene i totalrækken ikke lig med opdelingen af tal for VaR/Stress-VaR i forbindelse med de relevante risikokomponenter.</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w:t>
            </w:r>
          </w:p>
        </w:tc>
        <w:tc>
          <w:tcPr>
            <w:tcW w:w="7903" w:type="dxa"/>
          </w:tcPr>
          <w:p w14:paraId="6294BA0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HANDLEDE GÆLDSINSTRUMENTER</w:t>
            </w:r>
          </w:p>
          <w:p w14:paraId="7EB08097" w14:textId="464B7176" w:rsidR="000B0B09" w:rsidRPr="004B0EC7" w:rsidRDefault="000B0B09" w:rsidP="00587E96">
            <w:pPr>
              <w:autoSpaceDE w:val="0"/>
              <w:autoSpaceDN w:val="0"/>
              <w:adjustRightInd w:val="0"/>
              <w:rPr>
                <w:sz w:val="24"/>
                <w:rFonts w:ascii="Times New Roman" w:hAnsi="Times New Roman"/>
              </w:rPr>
            </w:pPr>
            <w:r>
              <w:rPr>
                <w:sz w:val="24"/>
                <w:rFonts w:ascii="Times New Roman" w:hAnsi="Times New Roman"/>
              </w:rPr>
              <w:t xml:space="preserve">Svarer til den del af positionsrisiko, der er omhandlet i artikel 363, stk. 1, i forordning (EU) nr. 575/2013 kædet sammen med renterisikofaktorerne i artikel 367, stk. 2, litra a), i nævnte forordning.</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903" w:type="dxa"/>
          </w:tcPr>
          <w:p w14:paraId="2BA9F6D7"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HANDLEDE GÆLDSINSTRUMENTER (TDI) — GENEREL RISIKO</w:t>
            </w:r>
          </w:p>
          <w:p w14:paraId="326F4D54" w14:textId="3D6EBE1B" w:rsidR="000B0B09" w:rsidRPr="004B0EC7" w:rsidRDefault="000B0B09" w:rsidP="0016282F">
            <w:pPr>
              <w:autoSpaceDE w:val="0"/>
              <w:autoSpaceDN w:val="0"/>
              <w:adjustRightInd w:val="0"/>
              <w:rPr>
                <w:sz w:val="24"/>
                <w:rFonts w:ascii="Times New Roman" w:hAnsi="Times New Roman"/>
              </w:rPr>
            </w:pPr>
            <w:r>
              <w:rPr>
                <w:sz w:val="24"/>
                <w:rFonts w:ascii="Times New Roman" w:hAnsi="Times New Roman"/>
              </w:rPr>
              <w:t xml:space="preserve">Generel risikokomponent som omhandlet i artikel 362 i forordning (EU) nr. 575/2013</w:t>
            </w:r>
            <w:r>
              <w:rPr>
                <w:sz w:val="24"/>
                <w:rFonts w:ascii="Times New Roman" w:hAnsi="Times New Roman"/>
              </w:rPr>
              <w:t xml:space="preserve">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903" w:type="dxa"/>
          </w:tcPr>
          <w:p w14:paraId="0A8CBDBA"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HANDLEDE GÆLDSINSTRUMENTER (TDI) — SPECIFIK RISIKO</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b/>
                <w:bCs/>
                <w:sz w:val="24"/>
                <w:u w:val="single"/>
                <w:rFonts w:ascii="Times New Roman" w:hAnsi="Times New Roman"/>
              </w:rPr>
            </w:pPr>
            <w:r>
              <w:rPr>
                <w:sz w:val="24"/>
                <w:rFonts w:ascii="Times New Roman" w:hAnsi="Times New Roman"/>
              </w:rPr>
              <w:t xml:space="preserve">Specifik risikokomponent som omhandlet i artikel 362 i forordning (EU) nr. 575/2013</w:t>
            </w:r>
            <w:r>
              <w:rPr>
                <w:sz w:val="24"/>
                <w:rFonts w:ascii="Times New Roman" w:hAnsi="Times New Roman"/>
              </w:rPr>
              <w:t xml:space="preserve">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903" w:type="dxa"/>
          </w:tcPr>
          <w:p w14:paraId="3D16BF4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AKTIER</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Svarer til den del af positionsrisiko, der er omhandlet i artikel 363, stk. 1, i forordning (EU) nr. 575/2013 kædet sammen med aktierisikofaktorerne i artikel 367, stk. 2, litra c), i nævnte forordning.</w:t>
            </w:r>
            <w:r>
              <w:rPr>
                <w:sz w:val="24"/>
                <w:rFonts w:ascii="Times New Roman" w:hAnsi="Times New Roman"/>
              </w:rPr>
              <w:t xml:space="preserve">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903" w:type="dxa"/>
          </w:tcPr>
          <w:p w14:paraId="40CEA49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AKTIER — GENEREL RISIKO</w:t>
            </w:r>
          </w:p>
          <w:p w14:paraId="528E3DA1" w14:textId="2D4BA326" w:rsidR="000B0B09" w:rsidRPr="004B0EC7" w:rsidRDefault="000B0B09" w:rsidP="00BE0363">
            <w:pPr>
              <w:autoSpaceDE w:val="0"/>
              <w:autoSpaceDN w:val="0"/>
              <w:adjustRightInd w:val="0"/>
              <w:rPr>
                <w:b/>
                <w:bCs/>
                <w:sz w:val="24"/>
                <w:u w:val="single"/>
                <w:rFonts w:ascii="Times New Roman" w:hAnsi="Times New Roman"/>
              </w:rPr>
            </w:pPr>
            <w:r>
              <w:rPr>
                <w:sz w:val="24"/>
                <w:rFonts w:ascii="Times New Roman" w:hAnsi="Times New Roman"/>
              </w:rPr>
              <w:t xml:space="preserve">Generel risikokomponent som omhandlet i artikel 362 i forordning (EU) nr. 575/2013</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903" w:type="dxa"/>
          </w:tcPr>
          <w:p w14:paraId="315638D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AKTIER — SPECIFIK RISIKO</w:t>
            </w:r>
          </w:p>
          <w:p w14:paraId="53D03CDE" w14:textId="49BEAF03" w:rsidR="000B0B09" w:rsidRPr="004B0EC7" w:rsidRDefault="000B0B09" w:rsidP="0016282F">
            <w:pPr>
              <w:autoSpaceDE w:val="0"/>
              <w:autoSpaceDN w:val="0"/>
              <w:adjustRightInd w:val="0"/>
              <w:rPr>
                <w:b/>
                <w:bCs/>
                <w:sz w:val="24"/>
                <w:u w:val="single"/>
                <w:rFonts w:ascii="Times New Roman" w:hAnsi="Times New Roman"/>
              </w:rPr>
            </w:pPr>
            <w:r>
              <w:rPr>
                <w:sz w:val="24"/>
                <w:rFonts w:ascii="Times New Roman" w:hAnsi="Times New Roman"/>
              </w:rPr>
              <w:t xml:space="preserve">Specifik risikokomponent som omhandlet i artikel 362 i forordning (EU) nr. 575/2013</w:t>
            </w:r>
            <w:r>
              <w:rPr>
                <w:sz w:val="24"/>
                <w:rFonts w:ascii="Times New Roman" w:hAnsi="Times New Roman"/>
              </w:rPr>
              <w:t xml:space="preserve">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903" w:type="dxa"/>
          </w:tcPr>
          <w:p w14:paraId="729B481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VALUTARISIKO</w:t>
            </w:r>
          </w:p>
          <w:p w14:paraId="4A2A62FE" w14:textId="098C8392" w:rsidR="000B0B09" w:rsidRPr="004B0EC7" w:rsidRDefault="000B0B09" w:rsidP="00587E96">
            <w:pPr>
              <w:autoSpaceDE w:val="0"/>
              <w:autoSpaceDN w:val="0"/>
              <w:adjustRightInd w:val="0"/>
              <w:rPr>
                <w:b/>
                <w:bCs/>
                <w:sz w:val="24"/>
                <w:u w:val="single"/>
                <w:rFonts w:ascii="Times New Roman" w:hAnsi="Times New Roman"/>
              </w:rPr>
            </w:pPr>
            <w:r>
              <w:rPr>
                <w:sz w:val="24"/>
                <w:rFonts w:ascii="Times New Roman" w:hAnsi="Times New Roman"/>
              </w:rPr>
              <w:t xml:space="preserve">Artikel 363, stk. 1, og artikel 367, stk. 2, litra b), i forordning (EU) nr. 575/2013</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903" w:type="dxa"/>
          </w:tcPr>
          <w:p w14:paraId="3490DA9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RÅVARERISIKO</w:t>
            </w:r>
          </w:p>
          <w:p w14:paraId="341E16EA" w14:textId="56B929B0" w:rsidR="000B0B09" w:rsidRPr="004B0EC7" w:rsidRDefault="000B0B09" w:rsidP="00BE0363">
            <w:pPr>
              <w:autoSpaceDE w:val="0"/>
              <w:autoSpaceDN w:val="0"/>
              <w:adjustRightInd w:val="0"/>
              <w:rPr>
                <w:b/>
                <w:bCs/>
                <w:sz w:val="24"/>
                <w:u w:val="single"/>
                <w:rFonts w:ascii="Times New Roman" w:hAnsi="Times New Roman"/>
              </w:rPr>
            </w:pPr>
            <w:r>
              <w:rPr>
                <w:sz w:val="24"/>
                <w:rFonts w:ascii="Times New Roman" w:hAnsi="Times New Roman"/>
              </w:rPr>
              <w:t xml:space="preserve">Artikel 363, stk. 1, og artikel 367, stk. 2, litra d), i forordning (EU) nr. 575/2013</w:t>
            </w:r>
            <w:r>
              <w:rPr>
                <w:sz w:val="24"/>
                <w:rFonts w:ascii="Times New Roman" w:hAnsi="Times New Roman"/>
              </w:rPr>
              <w:t xml:space="preserve">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903" w:type="dxa"/>
          </w:tcPr>
          <w:p w14:paraId="3F8165C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SAMLET BELØB FOR GENEREL RISIKO</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b/>
                <w:bCs/>
                <w:sz w:val="24"/>
                <w:u w:val="single"/>
                <w:rFonts w:ascii="Times New Roman" w:hAnsi="Times New Roman"/>
              </w:rPr>
            </w:pPr>
            <w:r>
              <w:rPr>
                <w:rStyle w:val="InstructionsTabelleText"/>
                <w:sz w:val="24"/>
                <w:rFonts w:ascii="Times New Roman" w:hAnsi="Times New Roman"/>
              </w:rPr>
              <w:t xml:space="preserve">Markedsrisiko forårsaget af generelle bevægelser på markederne for handlede gældsinstrumenter, aktier, valutaer og råvarer.</w:t>
            </w:r>
            <w:r>
              <w:rPr>
                <w:rStyle w:val="InstructionsTabelleText"/>
                <w:sz w:val="24"/>
                <w:rFonts w:ascii="Times New Roman" w:hAnsi="Times New Roman"/>
              </w:rPr>
              <w:t xml:space="preserve"> </w:t>
            </w:r>
            <w:r>
              <w:rPr>
                <w:rStyle w:val="InstructionsTabelleText"/>
                <w:sz w:val="24"/>
                <w:rFonts w:ascii="Times New Roman" w:hAnsi="Times New Roman"/>
              </w:rPr>
              <w:t xml:space="preserve">VaR for generel risiko ved alle risikofaktorer under hensyntagen til evt. korrelationsvirkninger</w:t>
            </w:r>
            <w:r>
              <w:rPr>
                <w:rStyle w:val="InstructionsTabelleText"/>
                <w:sz w:val="24"/>
                <w:rFonts w:ascii="Times New Roman" w:hAnsi="Times New Roman"/>
              </w:rPr>
              <w:t xml:space="preserve">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903" w:type="dxa"/>
          </w:tcPr>
          <w:p w14:paraId="4F775FB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SAMLET BELØB FOR SPECIFIK RISIKO</w:t>
            </w:r>
          </w:p>
          <w:p w14:paraId="319F28D3" w14:textId="77777777" w:rsidR="000B0B09" w:rsidRPr="002A677E" w:rsidRDefault="000B0B09" w:rsidP="0016282F">
            <w:pPr>
              <w:autoSpaceDE w:val="0"/>
              <w:autoSpaceDN w:val="0"/>
              <w:adjustRightInd w:val="0"/>
              <w:rPr>
                <w:b/>
                <w:bCs/>
                <w:sz w:val="24"/>
                <w:u w:val="single"/>
                <w:rFonts w:ascii="Times New Roman" w:hAnsi="Times New Roman"/>
              </w:rPr>
            </w:pPr>
            <w:r>
              <w:rPr>
                <w:rStyle w:val="InstructionsTabelleText"/>
                <w:sz w:val="24"/>
                <w:rFonts w:ascii="Times New Roman" w:hAnsi="Times New Roman"/>
              </w:rPr>
              <w:t xml:space="preserve">Specifik risikokomponent for handlede gældsinstrumenter og aktier.</w:t>
            </w:r>
            <w:r>
              <w:rPr>
                <w:rStyle w:val="InstructionsTabelleText"/>
                <w:sz w:val="24"/>
                <w:rFonts w:ascii="Times New Roman" w:hAnsi="Times New Roman"/>
              </w:rPr>
              <w:t xml:space="preserve"> </w:t>
            </w:r>
            <w:r>
              <w:rPr>
                <w:rStyle w:val="InstructionsTabelleText"/>
                <w:sz w:val="24"/>
                <w:rFonts w:ascii="Times New Roman" w:hAnsi="Times New Roman"/>
              </w:rPr>
              <w:t xml:space="preserve">VaR for specifik risiko ved aktier og handlede gældsinstrumenter i handelsbeholdningen under hensyntagen til evt. korrelationsvirkninger</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sz w:val="20"/>
        <w:szCs w:val="20"/>
        <w:rFonts w:ascii="Times New Roman" w:hAnsi="Times New Roman"/>
      </w:rPr>
    </w:pPr>
    <w:r>
      <w:rPr>
        <w:sz w:val="20"/>
        <w:rFonts w:ascii="Times New Roman" w:hAnsi="Times New Roman"/>
      </w:rPr>
      <w:fldChar w:fldCharType="begin"/>
    </w:r>
    <w:r>
      <w:rPr>
        <w:sz w:val="20"/>
        <w:rFonts w:ascii="Times New Roman" w:hAnsi="Times New Roman"/>
      </w:rPr>
      <w:instrText xml:space="preserve"> PAGE   \* MERGEFORMAT </w:instrText>
    </w:r>
    <w:r>
      <w:rPr>
        <w:sz w:val="20"/>
        <w:rFonts w:ascii="Times New Roman" w:hAnsi="Times New Roman"/>
      </w:rPr>
      <w:fldChar w:fldCharType="separate"/>
    </w:r>
    <w:r>
      <w:rPr>
        <w:sz w:val="20"/>
        <w:rFonts w:ascii="Times New Roman" w:hAnsi="Times New Roman"/>
      </w:rPr>
      <w:t xml:space="preserve">42</w:t>
    </w:r>
    <w:r>
      <w:rPr>
        <w:sz w:val="20"/>
        <w:rFonts w:ascii="Times New Roman" w:hAnsi="Times New Roman"/>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ab/>
      </w:r>
      <w:r>
        <w:rPr>
          <w:sz w:val="20"/>
          <w:rFonts w:ascii="Times New Roman" w:hAnsi="Times New Roman"/>
        </w:rPr>
        <w:t xml:space="preserve">Kommissionens delegerede forordning (EU) nr. 525/2014 af 12. marts 2014 om supplerende regler til Europa-Parlamentets og Rådets forordning (EU) nr. 575/2013 for så vidt angår reguleringsmæssige tekniske standarder, der definerer begrebet marked (EUT L 148 af 20.5.2014, s. 15).</w:t>
      </w:r>
    </w:p>
  </w:footnote>
  <w:footnote w:id="3">
    <w:p w14:paraId="018474C7" w14:textId="77777777" w:rsidR="00C3070C" w:rsidRPr="00A11C6E" w:rsidRDefault="00C3070C">
      <w:pPr>
        <w:pStyle w:val="FootnoteText"/>
      </w:pPr>
      <w:r>
        <w:rPr>
          <w:rStyle w:val="FootnoteReference"/>
        </w:rPr>
        <w:footnoteRef/>
      </w:r>
      <w:r>
        <w:t xml:space="preserve"> Kommissionens gennemførelsesforordning (EU) nr. 945/2014 af 4. september 2014 om gennemførelsesmæssige tekniske standarder for relevante tilstrækkeligt diversificerede indeks i overensstemmelse med Europa-Parlamentets og Rådets forordning (EU) nr. 575/2013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Title:  - Description: 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da-DK"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da-DK"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da-DK"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da-DK"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da-DK"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da-DK"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da-DK"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da-DK"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5046"/>
    <w:rPr>
      <w:rFonts w:ascii="Verdana" w:hAnsi="Verdana" w:cs="Times New Roman"/>
      <w:b/>
      <w:sz w:val="24"/>
      <w:szCs w:val="24"/>
      <w:u w:val="single"/>
      <w:lang w:val="da-DK"/>
    </w:rPr>
  </w:style>
  <w:style w:type="character" w:customStyle="1" w:styleId="Heading3Char">
    <w:name w:val="Heading 3 Char"/>
    <w:aliases w:val="Title 2 Char"/>
    <w:uiPriority w:val="99"/>
    <w:locked/>
    <w:rsid w:val="00884FEB"/>
    <w:rPr>
      <w:rFonts w:cs="Times New Roman"/>
      <w:sz w:val="24"/>
      <w:szCs w:val="24"/>
      <w:lang w:val="da-D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da-DK"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da-DK"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da-DK"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da-DK"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da-DK"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da-DK" w:eastAsia="x-none"/>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da-DK" w:eastAsia="x-none"/>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da-DK"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da-DK" w:eastAsia="es-ES_tradnl"/>
    </w:rPr>
  </w:style>
  <w:style w:type="character" w:customStyle="1" w:styleId="PlainTextChar">
    <w:name w:val="Plain Text Char"/>
    <w:link w:val="PlainText"/>
    <w:uiPriority w:val="99"/>
    <w:locked/>
    <w:rsid w:val="00884FEB"/>
    <w:rPr>
      <w:rFonts w:ascii="Verdana"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da-DK"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a-DK"/>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da-DK"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a-D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a-D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da-DK"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da-DK"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da-DK"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da-DK"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da-DK"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da-DK"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da-DK"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da-DK"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da-DK"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da-DK"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da-DK"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da-DK"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da-DK"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da-DK"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da-DK"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da-DK"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da-DK"/>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da-DK"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da-DK"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da-DK"/>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da-DK"/>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da-DK"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da-DK"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da-DK"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da-DK"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da-DK"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da-DK"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da-DK"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DECDACD3-1A24-4156-835F-157D91238D54}"/>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C9D8732D-68BE-4618-AF70-8C6846EB9E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20</Pages>
  <Words>6250</Words>
  <Characters>35626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3</cp:revision>
  <dcterms:created xsi:type="dcterms:W3CDTF">2024-06-19T18:18:00Z</dcterms:created>
  <dcterms:modified xsi:type="dcterms:W3CDTF">2024-06-21T12:25:00Z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